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
        <w:gridCol w:w="1245"/>
        <w:gridCol w:w="61"/>
        <w:gridCol w:w="7033"/>
        <w:gridCol w:w="61"/>
      </w:tblGrid>
      <w:tr w14:paraId="682A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Align w:val="center"/>
          </w:tcPr>
          <w:p w14:paraId="45769819">
            <w:pPr>
              <w:widowControl/>
              <w:jc w:val="center"/>
              <w:rPr>
                <w:rFonts w:hint="eastAsia" w:ascii="宋体" w:hAnsi="宋体" w:cs="宋体"/>
                <w:b/>
                <w:bCs/>
                <w:kern w:val="0"/>
                <w:szCs w:val="24"/>
              </w:rPr>
            </w:pPr>
            <w:r>
              <w:rPr>
                <w:rFonts w:hint="eastAsia" w:ascii="宋体" w:hAnsi="宋体" w:cs="宋体"/>
                <w:b/>
                <w:bCs/>
                <w:kern w:val="0"/>
                <w:szCs w:val="24"/>
              </w:rPr>
              <w:t>功能分类</w:t>
            </w:r>
          </w:p>
        </w:tc>
        <w:tc>
          <w:tcPr>
            <w:tcW w:w="7094" w:type="dxa"/>
            <w:gridSpan w:val="2"/>
          </w:tcPr>
          <w:p w14:paraId="71B5D7F6">
            <w:pPr>
              <w:widowControl/>
              <w:jc w:val="center"/>
              <w:rPr>
                <w:rFonts w:hint="eastAsia" w:ascii="宋体" w:hAnsi="宋体" w:cs="宋体"/>
                <w:b/>
                <w:bCs/>
                <w:kern w:val="0"/>
                <w:szCs w:val="24"/>
              </w:rPr>
            </w:pPr>
            <w:r>
              <w:rPr>
                <w:rFonts w:hint="eastAsia" w:ascii="宋体" w:hAnsi="宋体" w:cs="宋体"/>
                <w:b/>
                <w:bCs/>
                <w:kern w:val="0"/>
                <w:szCs w:val="24"/>
                <w:lang w:val="en-US" w:eastAsia="zh-CN"/>
              </w:rPr>
              <w:t>系统</w:t>
            </w:r>
            <w:r>
              <w:rPr>
                <w:rFonts w:hint="eastAsia" w:ascii="宋体" w:hAnsi="宋体" w:cs="宋体"/>
                <w:b/>
                <w:bCs/>
                <w:kern w:val="0"/>
                <w:szCs w:val="24"/>
              </w:rPr>
              <w:t>功能要求</w:t>
            </w:r>
            <w:bookmarkStart w:id="0" w:name="_GoBack"/>
            <w:bookmarkEnd w:id="0"/>
          </w:p>
        </w:tc>
      </w:tr>
      <w:tr w14:paraId="48C6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7A83EA38">
            <w:pPr>
              <w:widowControl/>
              <w:jc w:val="center"/>
              <w:rPr>
                <w:rFonts w:hint="eastAsia" w:ascii="宋体" w:hAnsi="宋体" w:cs="宋体"/>
                <w:b/>
                <w:bCs/>
                <w:kern w:val="0"/>
                <w:sz w:val="21"/>
                <w:szCs w:val="21"/>
              </w:rPr>
            </w:pPr>
            <w:r>
              <w:rPr>
                <w:rFonts w:hint="eastAsia" w:ascii="宋体" w:hAnsi="宋体" w:cs="宋体"/>
                <w:b/>
                <w:bCs/>
                <w:kern w:val="0"/>
                <w:sz w:val="21"/>
                <w:szCs w:val="21"/>
              </w:rPr>
              <w:t>系统管理端</w:t>
            </w:r>
          </w:p>
        </w:tc>
        <w:tc>
          <w:tcPr>
            <w:tcW w:w="7094" w:type="dxa"/>
            <w:gridSpan w:val="2"/>
          </w:tcPr>
          <w:p w14:paraId="27DEB445">
            <w:pPr>
              <w:widowControl/>
              <w:jc w:val="left"/>
              <w:rPr>
                <w:rFonts w:hint="eastAsia" w:ascii="宋体" w:hAnsi="宋体" w:cs="宋体"/>
                <w:b/>
                <w:bCs/>
                <w:kern w:val="0"/>
                <w:sz w:val="21"/>
                <w:szCs w:val="21"/>
              </w:rPr>
            </w:pPr>
            <w:r>
              <w:rPr>
                <w:rFonts w:hint="eastAsia" w:ascii="宋体" w:hAnsi="宋体" w:cs="宋体"/>
                <w:b/>
                <w:bCs/>
                <w:kern w:val="0"/>
                <w:sz w:val="21"/>
                <w:szCs w:val="21"/>
              </w:rPr>
              <w:t>账户管理：</w:t>
            </w:r>
          </w:p>
          <w:p w14:paraId="25B68BEA">
            <w:pPr>
              <w:pStyle w:val="2"/>
              <w:rPr>
                <w:sz w:val="21"/>
                <w:szCs w:val="21"/>
              </w:rPr>
            </w:pPr>
            <w:r>
              <w:rPr>
                <w:sz w:val="21"/>
                <w:szCs w:val="21"/>
              </w:rPr>
              <w:t xml:space="preserve">1、 </w:t>
            </w:r>
            <w:r>
              <w:rPr>
                <w:rFonts w:hint="eastAsia"/>
                <w:sz w:val="21"/>
                <w:szCs w:val="21"/>
              </w:rPr>
              <w:t>支持</w:t>
            </w:r>
            <w:r>
              <w:rPr>
                <w:sz w:val="21"/>
                <w:szCs w:val="21"/>
              </w:rPr>
              <w:t>密码复杂度设置；</w:t>
            </w:r>
          </w:p>
          <w:p w14:paraId="67226978">
            <w:pPr>
              <w:pStyle w:val="2"/>
              <w:rPr>
                <w:sz w:val="21"/>
                <w:szCs w:val="21"/>
              </w:rPr>
            </w:pPr>
            <w:r>
              <w:rPr>
                <w:sz w:val="21"/>
                <w:szCs w:val="21"/>
              </w:rPr>
              <w:t>2、 登录多次</w:t>
            </w:r>
            <w:r>
              <w:rPr>
                <w:rFonts w:hint="eastAsia"/>
                <w:sz w:val="21"/>
                <w:szCs w:val="21"/>
              </w:rPr>
              <w:t>验证失败后</w:t>
            </w:r>
            <w:r>
              <w:rPr>
                <w:sz w:val="21"/>
                <w:szCs w:val="21"/>
              </w:rPr>
              <w:t>，账号</w:t>
            </w:r>
            <w:r>
              <w:rPr>
                <w:rFonts w:hint="eastAsia"/>
                <w:sz w:val="21"/>
                <w:szCs w:val="21"/>
              </w:rPr>
              <w:t>自动锁定</w:t>
            </w:r>
            <w:r>
              <w:rPr>
                <w:sz w:val="21"/>
                <w:szCs w:val="21"/>
              </w:rPr>
              <w:t>；</w:t>
            </w:r>
          </w:p>
          <w:p w14:paraId="2E351C27">
            <w:pPr>
              <w:pStyle w:val="2"/>
              <w:rPr>
                <w:sz w:val="21"/>
                <w:szCs w:val="21"/>
              </w:rPr>
            </w:pPr>
            <w:r>
              <w:rPr>
                <w:sz w:val="21"/>
                <w:szCs w:val="21"/>
              </w:rPr>
              <w:t xml:space="preserve">4、 </w:t>
            </w:r>
            <w:r>
              <w:rPr>
                <w:rFonts w:hint="eastAsia"/>
                <w:sz w:val="21"/>
                <w:szCs w:val="21"/>
              </w:rPr>
              <w:t>默认分配</w:t>
            </w:r>
            <w:r>
              <w:rPr>
                <w:sz w:val="21"/>
                <w:szCs w:val="21"/>
              </w:rPr>
              <w:t>初始密码，</w:t>
            </w:r>
            <w:r>
              <w:rPr>
                <w:rFonts w:hint="eastAsia"/>
                <w:sz w:val="21"/>
                <w:szCs w:val="21"/>
              </w:rPr>
              <w:t>首次登录提示修改</w:t>
            </w:r>
            <w:r>
              <w:rPr>
                <w:sz w:val="21"/>
                <w:szCs w:val="21"/>
              </w:rPr>
              <w:t>初始密码；</w:t>
            </w:r>
          </w:p>
          <w:p w14:paraId="4685CBCD">
            <w:pPr>
              <w:pStyle w:val="2"/>
              <w:rPr>
                <w:sz w:val="21"/>
                <w:szCs w:val="21"/>
              </w:rPr>
            </w:pPr>
            <w:r>
              <w:rPr>
                <w:sz w:val="21"/>
                <w:szCs w:val="21"/>
              </w:rPr>
              <w:t xml:space="preserve">5、 </w:t>
            </w:r>
            <w:r>
              <w:rPr>
                <w:rFonts w:hint="eastAsia"/>
                <w:sz w:val="21"/>
                <w:szCs w:val="21"/>
              </w:rPr>
              <w:t>支持</w:t>
            </w:r>
            <w:r>
              <w:rPr>
                <w:sz w:val="21"/>
                <w:szCs w:val="21"/>
              </w:rPr>
              <w:t>密码有效期</w:t>
            </w:r>
            <w:r>
              <w:rPr>
                <w:rFonts w:hint="eastAsia"/>
                <w:sz w:val="21"/>
                <w:szCs w:val="21"/>
              </w:rPr>
              <w:t>设置</w:t>
            </w:r>
            <w:r>
              <w:rPr>
                <w:sz w:val="21"/>
                <w:szCs w:val="21"/>
              </w:rPr>
              <w:t>，</w:t>
            </w:r>
            <w:r>
              <w:rPr>
                <w:rFonts w:hint="eastAsia"/>
                <w:sz w:val="21"/>
                <w:szCs w:val="21"/>
              </w:rPr>
              <w:t>到期后自动提醒用户</w:t>
            </w:r>
            <w:r>
              <w:rPr>
                <w:sz w:val="21"/>
                <w:szCs w:val="21"/>
              </w:rPr>
              <w:t>修改；</w:t>
            </w:r>
          </w:p>
          <w:p w14:paraId="31BD5DDB">
            <w:pPr>
              <w:pStyle w:val="2"/>
              <w:rPr>
                <w:b/>
                <w:bCs/>
                <w:sz w:val="21"/>
                <w:szCs w:val="21"/>
              </w:rPr>
            </w:pPr>
            <w:r>
              <w:rPr>
                <w:sz w:val="21"/>
                <w:szCs w:val="21"/>
              </w:rPr>
              <w:t>6、</w:t>
            </w:r>
            <w:r>
              <w:rPr>
                <w:rFonts w:hint="eastAsia"/>
                <w:sz w:val="21"/>
                <w:szCs w:val="21"/>
              </w:rPr>
              <w:t xml:space="preserve"> </w:t>
            </w:r>
            <w:r>
              <w:rPr>
                <w:sz w:val="21"/>
                <w:szCs w:val="21"/>
              </w:rPr>
              <w:t>客户端</w:t>
            </w:r>
            <w:r>
              <w:rPr>
                <w:rFonts w:hint="eastAsia"/>
                <w:sz w:val="21"/>
                <w:szCs w:val="21"/>
              </w:rPr>
              <w:t>超时</w:t>
            </w:r>
            <w:r>
              <w:rPr>
                <w:sz w:val="21"/>
                <w:szCs w:val="21"/>
              </w:rPr>
              <w:t>未操作</w:t>
            </w:r>
            <w:r>
              <w:rPr>
                <w:rFonts w:hint="eastAsia"/>
                <w:sz w:val="21"/>
                <w:szCs w:val="21"/>
              </w:rPr>
              <w:t>时，界面自动锁定，需重新验证密码方可登录</w:t>
            </w:r>
            <w:r>
              <w:rPr>
                <w:b/>
                <w:bCs/>
                <w:sz w:val="21"/>
                <w:szCs w:val="21"/>
              </w:rPr>
              <w:t>。</w:t>
            </w:r>
          </w:p>
        </w:tc>
      </w:tr>
      <w:tr w14:paraId="32A5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A221478">
            <w:pPr>
              <w:widowControl/>
              <w:jc w:val="center"/>
              <w:rPr>
                <w:rFonts w:hint="eastAsia" w:ascii="宋体" w:hAnsi="宋体" w:cs="宋体"/>
                <w:kern w:val="0"/>
                <w:sz w:val="21"/>
                <w:szCs w:val="21"/>
              </w:rPr>
            </w:pPr>
          </w:p>
        </w:tc>
        <w:tc>
          <w:tcPr>
            <w:tcW w:w="7094" w:type="dxa"/>
            <w:gridSpan w:val="2"/>
          </w:tcPr>
          <w:p w14:paraId="6D9EF0E8">
            <w:pPr>
              <w:pStyle w:val="2"/>
              <w:jc w:val="left"/>
              <w:rPr>
                <w:b/>
                <w:bCs/>
                <w:sz w:val="21"/>
                <w:szCs w:val="21"/>
              </w:rPr>
            </w:pPr>
            <w:r>
              <w:rPr>
                <w:rFonts w:hint="eastAsia"/>
                <w:b/>
                <w:bCs/>
                <w:sz w:val="21"/>
                <w:szCs w:val="21"/>
              </w:rPr>
              <w:t>权限控制：</w:t>
            </w:r>
          </w:p>
          <w:p w14:paraId="058CDD42">
            <w:pPr>
              <w:pStyle w:val="2"/>
              <w:rPr>
                <w:sz w:val="21"/>
                <w:szCs w:val="21"/>
              </w:rPr>
            </w:pPr>
            <w:r>
              <w:rPr>
                <w:sz w:val="21"/>
                <w:szCs w:val="21"/>
              </w:rPr>
              <w:t>1、</w:t>
            </w:r>
            <w:r>
              <w:rPr>
                <w:rFonts w:hint="eastAsia"/>
                <w:sz w:val="21"/>
                <w:szCs w:val="21"/>
              </w:rPr>
              <w:t>采用</w:t>
            </w:r>
            <w:r>
              <w:rPr>
                <w:sz w:val="21"/>
                <w:szCs w:val="21"/>
              </w:rPr>
              <w:t>用</w:t>
            </w:r>
            <w:r>
              <w:rPr>
                <w:rFonts w:hint="eastAsia"/>
                <w:sz w:val="21"/>
                <w:szCs w:val="21"/>
              </w:rPr>
              <w:t>户</w:t>
            </w:r>
            <w:r>
              <w:rPr>
                <w:sz w:val="21"/>
                <w:szCs w:val="21"/>
              </w:rPr>
              <w:t>角色</w:t>
            </w:r>
            <w:r>
              <w:rPr>
                <w:rFonts w:hint="eastAsia"/>
                <w:sz w:val="21"/>
                <w:szCs w:val="21"/>
              </w:rPr>
              <w:t>分级管控</w:t>
            </w:r>
            <w:r>
              <w:rPr>
                <w:sz w:val="21"/>
                <w:szCs w:val="21"/>
              </w:rPr>
              <w:t>，不同角色</w:t>
            </w:r>
            <w:r>
              <w:rPr>
                <w:rFonts w:hint="eastAsia"/>
                <w:sz w:val="21"/>
                <w:szCs w:val="21"/>
              </w:rPr>
              <w:t>对应差异化操作</w:t>
            </w:r>
            <w:r>
              <w:rPr>
                <w:sz w:val="21"/>
                <w:szCs w:val="21"/>
              </w:rPr>
              <w:t>权限；</w:t>
            </w:r>
          </w:p>
          <w:p w14:paraId="78781AB4">
            <w:pPr>
              <w:pStyle w:val="2"/>
              <w:jc w:val="left"/>
              <w:rPr>
                <w:rFonts w:hint="eastAsia" w:ascii="宋体" w:hAnsi="宋体" w:cs="宋体"/>
                <w:b/>
                <w:bCs/>
                <w:kern w:val="0"/>
                <w:sz w:val="21"/>
                <w:szCs w:val="21"/>
              </w:rPr>
            </w:pPr>
            <w:r>
              <w:rPr>
                <w:sz w:val="21"/>
                <w:szCs w:val="21"/>
              </w:rPr>
              <w:t>2、权限</w:t>
            </w:r>
            <w:r>
              <w:rPr>
                <w:rFonts w:hint="eastAsia"/>
                <w:sz w:val="21"/>
                <w:szCs w:val="21"/>
              </w:rPr>
              <w:t>可</w:t>
            </w:r>
            <w:r>
              <w:rPr>
                <w:sz w:val="21"/>
                <w:szCs w:val="21"/>
              </w:rPr>
              <w:t>控制菜单显示、</w:t>
            </w:r>
            <w:r>
              <w:rPr>
                <w:rFonts w:hint="eastAsia"/>
                <w:sz w:val="21"/>
                <w:szCs w:val="21"/>
              </w:rPr>
              <w:t>由管理端统一配置全流程</w:t>
            </w:r>
            <w:r>
              <w:rPr>
                <w:sz w:val="21"/>
                <w:szCs w:val="21"/>
              </w:rPr>
              <w:t>操作权限。</w:t>
            </w:r>
          </w:p>
        </w:tc>
      </w:tr>
      <w:tr w14:paraId="08E3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E89E8E1">
            <w:pPr>
              <w:widowControl/>
              <w:jc w:val="center"/>
              <w:rPr>
                <w:rFonts w:hint="eastAsia" w:ascii="宋体" w:hAnsi="宋体" w:cs="宋体"/>
                <w:kern w:val="0"/>
                <w:sz w:val="21"/>
                <w:szCs w:val="21"/>
              </w:rPr>
            </w:pPr>
          </w:p>
        </w:tc>
        <w:tc>
          <w:tcPr>
            <w:tcW w:w="7094" w:type="dxa"/>
            <w:gridSpan w:val="2"/>
          </w:tcPr>
          <w:p w14:paraId="6961D1B4">
            <w:pPr>
              <w:pStyle w:val="2"/>
              <w:jc w:val="left"/>
              <w:rPr>
                <w:b/>
                <w:bCs/>
                <w:sz w:val="21"/>
                <w:szCs w:val="21"/>
              </w:rPr>
            </w:pPr>
            <w:r>
              <w:rPr>
                <w:rFonts w:hint="eastAsia"/>
                <w:b/>
                <w:bCs/>
                <w:sz w:val="21"/>
                <w:szCs w:val="21"/>
              </w:rPr>
              <w:t>业务逻辑设置：</w:t>
            </w:r>
          </w:p>
          <w:p w14:paraId="68B6E491">
            <w:pPr>
              <w:pStyle w:val="2"/>
              <w:jc w:val="left"/>
              <w:rPr>
                <w:sz w:val="21"/>
                <w:szCs w:val="21"/>
              </w:rPr>
            </w:pPr>
            <w:r>
              <w:rPr>
                <w:rFonts w:hint="eastAsia"/>
                <w:sz w:val="21"/>
                <w:szCs w:val="21"/>
              </w:rPr>
              <w:t>1、支持</w:t>
            </w:r>
            <w:r>
              <w:rPr>
                <w:sz w:val="21"/>
                <w:szCs w:val="21"/>
              </w:rPr>
              <w:t>灵活设置导检项目、定义餐前、餐后、憋尿、妇检等特殊项目</w:t>
            </w:r>
            <w:r>
              <w:rPr>
                <w:rFonts w:hint="eastAsia"/>
                <w:sz w:val="21"/>
                <w:szCs w:val="21"/>
              </w:rPr>
              <w:t>属性</w:t>
            </w:r>
            <w:r>
              <w:rPr>
                <w:sz w:val="21"/>
                <w:szCs w:val="21"/>
              </w:rPr>
              <w:t>、设置项目检查时间，分配执行科室</w:t>
            </w:r>
            <w:r>
              <w:rPr>
                <w:rFonts w:hint="eastAsia"/>
                <w:sz w:val="21"/>
                <w:szCs w:val="21"/>
              </w:rPr>
              <w:t>，项目依赖关系等</w:t>
            </w:r>
            <w:r>
              <w:rPr>
                <w:sz w:val="21"/>
                <w:szCs w:val="21"/>
              </w:rPr>
              <w:t>。</w:t>
            </w:r>
          </w:p>
          <w:p w14:paraId="4B6B8A62">
            <w:pPr>
              <w:pStyle w:val="2"/>
              <w:jc w:val="left"/>
              <w:rPr>
                <w:sz w:val="21"/>
                <w:szCs w:val="21"/>
              </w:rPr>
            </w:pPr>
            <w:r>
              <w:rPr>
                <w:rFonts w:hint="eastAsia"/>
                <w:sz w:val="21"/>
                <w:szCs w:val="21"/>
              </w:rPr>
              <w:t>2、</w:t>
            </w:r>
            <w:r>
              <w:rPr>
                <w:sz w:val="21"/>
                <w:szCs w:val="21"/>
              </w:rPr>
              <w:t>可</w:t>
            </w:r>
            <w:r>
              <w:rPr>
                <w:rFonts w:hint="eastAsia"/>
                <w:sz w:val="21"/>
                <w:szCs w:val="21"/>
              </w:rPr>
              <w:t>根据体检中心业务模式，</w:t>
            </w:r>
            <w:r>
              <w:rPr>
                <w:sz w:val="21"/>
                <w:szCs w:val="21"/>
              </w:rPr>
              <w:t>灵活</w:t>
            </w:r>
            <w:r>
              <w:rPr>
                <w:rFonts w:hint="eastAsia"/>
                <w:sz w:val="21"/>
                <w:szCs w:val="21"/>
              </w:rPr>
              <w:t>匹配</w:t>
            </w:r>
            <w:r>
              <w:rPr>
                <w:sz w:val="21"/>
                <w:szCs w:val="21"/>
              </w:rPr>
              <w:t>导检方案</w:t>
            </w:r>
            <w:r>
              <w:rPr>
                <w:rFonts w:hint="eastAsia"/>
                <w:sz w:val="21"/>
                <w:szCs w:val="21"/>
              </w:rPr>
              <w:t>，包含</w:t>
            </w:r>
            <w:r>
              <w:rPr>
                <w:sz w:val="21"/>
                <w:szCs w:val="21"/>
              </w:rPr>
              <w:t>全科导检模式，大</w:t>
            </w:r>
            <w:r>
              <w:rPr>
                <w:rFonts w:hint="eastAsia"/>
                <w:sz w:val="21"/>
                <w:szCs w:val="21"/>
              </w:rPr>
              <w:t>队列</w:t>
            </w:r>
            <w:r>
              <w:rPr>
                <w:sz w:val="21"/>
                <w:szCs w:val="21"/>
              </w:rPr>
              <w:t>导检模式、</w:t>
            </w:r>
            <w:r>
              <w:rPr>
                <w:rFonts w:hint="eastAsia"/>
                <w:sz w:val="21"/>
                <w:szCs w:val="21"/>
              </w:rPr>
              <w:t>混合排队模式等</w:t>
            </w:r>
            <w:r>
              <w:rPr>
                <w:sz w:val="21"/>
                <w:szCs w:val="21"/>
              </w:rPr>
              <w:t>。</w:t>
            </w:r>
          </w:p>
          <w:p w14:paraId="18C2BAA7">
            <w:pPr>
              <w:pStyle w:val="2"/>
              <w:jc w:val="left"/>
              <w:rPr>
                <w:sz w:val="21"/>
                <w:szCs w:val="21"/>
              </w:rPr>
            </w:pPr>
            <w:r>
              <w:rPr>
                <w:rFonts w:hint="eastAsia"/>
                <w:sz w:val="21"/>
                <w:szCs w:val="21"/>
              </w:rPr>
              <w:t>3、支持将指定</w:t>
            </w:r>
            <w:r>
              <w:rPr>
                <w:sz w:val="21"/>
                <w:szCs w:val="21"/>
              </w:rPr>
              <w:t>科室为特殊科室，</w:t>
            </w:r>
            <w:r>
              <w:rPr>
                <w:rFonts w:hint="eastAsia"/>
                <w:sz w:val="21"/>
                <w:szCs w:val="21"/>
              </w:rPr>
              <w:t>启用</w:t>
            </w:r>
            <w:r>
              <w:rPr>
                <w:sz w:val="21"/>
                <w:szCs w:val="21"/>
              </w:rPr>
              <w:t>“虚拟队列”功能。用于解决</w:t>
            </w:r>
            <w:r>
              <w:rPr>
                <w:rFonts w:hint="eastAsia"/>
                <w:sz w:val="21"/>
                <w:szCs w:val="21"/>
              </w:rPr>
              <w:t>个别长耗时科室对整体排队效率的影响，</w:t>
            </w:r>
            <w:r>
              <w:rPr>
                <w:sz w:val="21"/>
                <w:szCs w:val="21"/>
              </w:rPr>
              <w:t>系统自动为每个体检客户</w:t>
            </w:r>
            <w:r>
              <w:rPr>
                <w:rFonts w:hint="eastAsia"/>
                <w:sz w:val="21"/>
                <w:szCs w:val="21"/>
              </w:rPr>
              <w:t>生成独立的</w:t>
            </w:r>
            <w:r>
              <w:rPr>
                <w:sz w:val="21"/>
                <w:szCs w:val="21"/>
              </w:rPr>
              <w:t>虚拟</w:t>
            </w:r>
            <w:r>
              <w:rPr>
                <w:rFonts w:hint="eastAsia"/>
                <w:sz w:val="21"/>
                <w:szCs w:val="21"/>
              </w:rPr>
              <w:t>队列</w:t>
            </w:r>
            <w:r>
              <w:rPr>
                <w:sz w:val="21"/>
                <w:szCs w:val="21"/>
              </w:rPr>
              <w:t>，</w:t>
            </w:r>
            <w:r>
              <w:rPr>
                <w:rFonts w:hint="eastAsia"/>
                <w:sz w:val="21"/>
                <w:szCs w:val="21"/>
              </w:rPr>
              <w:t>与其他队列相互指引</w:t>
            </w:r>
            <w:r>
              <w:rPr>
                <w:sz w:val="21"/>
                <w:szCs w:val="21"/>
              </w:rPr>
              <w:t>，互不</w:t>
            </w:r>
            <w:r>
              <w:rPr>
                <w:rFonts w:hint="eastAsia"/>
                <w:sz w:val="21"/>
                <w:szCs w:val="21"/>
              </w:rPr>
              <w:t>干扰</w:t>
            </w:r>
            <w:r>
              <w:rPr>
                <w:sz w:val="21"/>
                <w:szCs w:val="21"/>
              </w:rPr>
              <w:t>，提高</w:t>
            </w:r>
            <w:r>
              <w:rPr>
                <w:rFonts w:hint="eastAsia"/>
                <w:sz w:val="21"/>
                <w:szCs w:val="21"/>
              </w:rPr>
              <w:t>整体</w:t>
            </w:r>
            <w:r>
              <w:rPr>
                <w:sz w:val="21"/>
                <w:szCs w:val="21"/>
              </w:rPr>
              <w:t>检查效率。</w:t>
            </w:r>
          </w:p>
          <w:p w14:paraId="77A8A72B">
            <w:pPr>
              <w:pStyle w:val="2"/>
              <w:jc w:val="left"/>
              <w:rPr>
                <w:sz w:val="21"/>
                <w:szCs w:val="21"/>
              </w:rPr>
            </w:pPr>
            <w:r>
              <w:rPr>
                <w:rFonts w:hint="eastAsia"/>
                <w:sz w:val="21"/>
                <w:szCs w:val="21"/>
              </w:rPr>
              <w:t>4、</w:t>
            </w:r>
            <w:r>
              <w:rPr>
                <w:sz w:val="21"/>
                <w:szCs w:val="21"/>
              </w:rPr>
              <w:t>超声、采血等科室排队模式</w:t>
            </w:r>
            <w:r>
              <w:rPr>
                <w:rFonts w:hint="eastAsia"/>
                <w:sz w:val="21"/>
                <w:szCs w:val="21"/>
              </w:rPr>
              <w:t>可灵活切换</w:t>
            </w:r>
            <w:r>
              <w:rPr>
                <w:sz w:val="21"/>
                <w:szCs w:val="21"/>
              </w:rPr>
              <w:t>，</w:t>
            </w:r>
            <w:r>
              <w:rPr>
                <w:rFonts w:hint="eastAsia"/>
                <w:sz w:val="21"/>
                <w:szCs w:val="21"/>
              </w:rPr>
              <w:t>可</w:t>
            </w:r>
            <w:r>
              <w:rPr>
                <w:sz w:val="21"/>
                <w:szCs w:val="21"/>
              </w:rPr>
              <w:t>在预分配人员模式或潮汐模式下自由切换。</w:t>
            </w:r>
          </w:p>
          <w:p w14:paraId="1C220719">
            <w:pPr>
              <w:pStyle w:val="2"/>
              <w:jc w:val="left"/>
              <w:rPr>
                <w:sz w:val="21"/>
                <w:szCs w:val="21"/>
              </w:rPr>
            </w:pPr>
            <w:r>
              <w:rPr>
                <w:rFonts w:hint="eastAsia"/>
                <w:sz w:val="21"/>
                <w:szCs w:val="21"/>
              </w:rPr>
              <w:t>5、</w:t>
            </w:r>
            <w:r>
              <w:rPr>
                <w:sz w:val="21"/>
                <w:szCs w:val="21"/>
              </w:rPr>
              <w:t>支持瓶颈科室最大排队人数限定功能，当达到最大人数时优先</w:t>
            </w:r>
            <w:r>
              <w:rPr>
                <w:rFonts w:hint="eastAsia"/>
                <w:sz w:val="21"/>
                <w:szCs w:val="21"/>
              </w:rPr>
              <w:t>引导客户</w:t>
            </w:r>
            <w:r>
              <w:rPr>
                <w:sz w:val="21"/>
                <w:szCs w:val="21"/>
              </w:rPr>
              <w:t>完成其他科室项目检查。</w:t>
            </w:r>
          </w:p>
          <w:p w14:paraId="607701E7">
            <w:pPr>
              <w:pStyle w:val="2"/>
              <w:jc w:val="left"/>
              <w:rPr>
                <w:sz w:val="21"/>
                <w:szCs w:val="21"/>
              </w:rPr>
            </w:pPr>
            <w:r>
              <w:rPr>
                <w:rFonts w:hint="eastAsia"/>
                <w:sz w:val="21"/>
                <w:szCs w:val="21"/>
              </w:rPr>
              <w:t>6、</w:t>
            </w:r>
            <w:r>
              <w:rPr>
                <w:sz w:val="21"/>
                <w:szCs w:val="21"/>
              </w:rPr>
              <w:t>支持自定义客户类型，比如军属、复检、老人、孕妇、残疾人等。</w:t>
            </w:r>
          </w:p>
          <w:p w14:paraId="6BB7E544">
            <w:pPr>
              <w:widowControl/>
              <w:jc w:val="left"/>
              <w:rPr>
                <w:rFonts w:hint="eastAsia" w:ascii="宋体" w:hAnsi="宋体" w:cs="宋体"/>
                <w:b/>
                <w:bCs/>
                <w:kern w:val="0"/>
                <w:sz w:val="21"/>
                <w:szCs w:val="21"/>
              </w:rPr>
            </w:pPr>
            <w:r>
              <w:rPr>
                <w:rFonts w:hint="eastAsia"/>
                <w:sz w:val="21"/>
                <w:szCs w:val="21"/>
              </w:rPr>
              <w:t>7、支持自定义客户类型的优先级，优先级低的客户不可插队高优先级的客户。</w:t>
            </w:r>
          </w:p>
        </w:tc>
      </w:tr>
      <w:tr w14:paraId="3F61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52C2B3E4">
            <w:pPr>
              <w:widowControl/>
              <w:jc w:val="center"/>
              <w:rPr>
                <w:rFonts w:hint="eastAsia" w:ascii="宋体" w:hAnsi="宋体" w:cs="宋体"/>
                <w:b/>
                <w:bCs/>
                <w:kern w:val="0"/>
                <w:sz w:val="21"/>
                <w:szCs w:val="21"/>
              </w:rPr>
            </w:pPr>
            <w:r>
              <w:rPr>
                <w:rFonts w:hint="eastAsia" w:ascii="宋体" w:hAnsi="宋体" w:cs="宋体"/>
                <w:b/>
                <w:bCs/>
                <w:sz w:val="21"/>
                <w:szCs w:val="21"/>
              </w:rPr>
              <w:t>登记台</w:t>
            </w:r>
          </w:p>
        </w:tc>
        <w:tc>
          <w:tcPr>
            <w:tcW w:w="7094" w:type="dxa"/>
            <w:gridSpan w:val="2"/>
          </w:tcPr>
          <w:p w14:paraId="127C2346">
            <w:pPr>
              <w:jc w:val="left"/>
              <w:rPr>
                <w:rFonts w:hint="eastAsia" w:ascii="宋体" w:hAnsi="宋体" w:cs="宋体"/>
                <w:kern w:val="0"/>
                <w:sz w:val="21"/>
                <w:szCs w:val="21"/>
              </w:rPr>
            </w:pPr>
            <w:r>
              <w:rPr>
                <w:rFonts w:hint="eastAsia" w:ascii="宋体" w:hAnsi="宋体" w:cs="宋体"/>
                <w:sz w:val="21"/>
                <w:szCs w:val="21"/>
              </w:rPr>
              <w:t>支持通过自助设备直接进入导检队列。</w:t>
            </w:r>
          </w:p>
        </w:tc>
      </w:tr>
      <w:tr w14:paraId="1B14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A1040B2">
            <w:pPr>
              <w:widowControl/>
              <w:jc w:val="center"/>
              <w:rPr>
                <w:rFonts w:hint="eastAsia" w:ascii="宋体" w:hAnsi="宋体" w:cs="宋体"/>
                <w:kern w:val="0"/>
                <w:sz w:val="21"/>
                <w:szCs w:val="21"/>
              </w:rPr>
            </w:pPr>
          </w:p>
        </w:tc>
        <w:tc>
          <w:tcPr>
            <w:tcW w:w="7094" w:type="dxa"/>
            <w:gridSpan w:val="2"/>
          </w:tcPr>
          <w:p w14:paraId="4C8EBDD0">
            <w:pPr>
              <w:jc w:val="left"/>
              <w:rPr>
                <w:rFonts w:hint="eastAsia" w:ascii="宋体" w:hAnsi="宋体" w:cs="宋体"/>
                <w:kern w:val="0"/>
                <w:sz w:val="21"/>
                <w:szCs w:val="21"/>
              </w:rPr>
            </w:pPr>
            <w:r>
              <w:rPr>
                <w:rFonts w:hint="eastAsia" w:ascii="宋体" w:hAnsi="宋体" w:cs="宋体"/>
                <w:sz w:val="21"/>
                <w:szCs w:val="21"/>
              </w:rPr>
              <w:t>支持设置独立的分诊台，客户可通过分诊台加入导检队列。</w:t>
            </w:r>
          </w:p>
        </w:tc>
      </w:tr>
      <w:tr w14:paraId="3A80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1D2A9D9">
            <w:pPr>
              <w:widowControl/>
              <w:jc w:val="center"/>
              <w:rPr>
                <w:rFonts w:hint="eastAsia" w:ascii="宋体" w:hAnsi="宋体" w:cs="宋体"/>
                <w:kern w:val="0"/>
                <w:sz w:val="21"/>
                <w:szCs w:val="21"/>
              </w:rPr>
            </w:pPr>
          </w:p>
        </w:tc>
        <w:tc>
          <w:tcPr>
            <w:tcW w:w="7094" w:type="dxa"/>
            <w:gridSpan w:val="2"/>
          </w:tcPr>
          <w:p w14:paraId="09CA8C9A">
            <w:pPr>
              <w:jc w:val="left"/>
              <w:rPr>
                <w:rFonts w:hint="eastAsia" w:ascii="宋体" w:hAnsi="宋体" w:cs="宋体"/>
                <w:sz w:val="21"/>
                <w:szCs w:val="21"/>
              </w:rPr>
            </w:pPr>
            <w:r>
              <w:rPr>
                <w:rFonts w:hint="eastAsia" w:ascii="宋体" w:hAnsi="宋体" w:cs="宋体"/>
                <w:sz w:val="21"/>
                <w:szCs w:val="21"/>
              </w:rPr>
              <w:t>支持体检系统人员删除后，导检系统实时同步清除此人排队信息。</w:t>
            </w:r>
          </w:p>
        </w:tc>
      </w:tr>
      <w:tr w14:paraId="47F5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5A83C46">
            <w:pPr>
              <w:widowControl/>
              <w:jc w:val="center"/>
              <w:rPr>
                <w:rFonts w:hint="eastAsia" w:ascii="宋体" w:hAnsi="宋体" w:cs="宋体"/>
                <w:kern w:val="0"/>
                <w:sz w:val="21"/>
                <w:szCs w:val="21"/>
              </w:rPr>
            </w:pPr>
          </w:p>
        </w:tc>
        <w:tc>
          <w:tcPr>
            <w:tcW w:w="7094" w:type="dxa"/>
            <w:gridSpan w:val="2"/>
          </w:tcPr>
          <w:p w14:paraId="521D4536">
            <w:pPr>
              <w:jc w:val="left"/>
              <w:rPr>
                <w:rFonts w:hint="eastAsia" w:ascii="宋体" w:hAnsi="宋体" w:cs="宋体"/>
                <w:sz w:val="21"/>
                <w:szCs w:val="21"/>
              </w:rPr>
            </w:pPr>
            <w:r>
              <w:rPr>
                <w:rFonts w:hint="eastAsia" w:ascii="宋体" w:hAnsi="宋体" w:cs="宋体"/>
                <w:sz w:val="21"/>
                <w:szCs w:val="21"/>
              </w:rPr>
              <w:t>支持体检系统回收导引单后，导检系统立即同步清除此人排队信息。</w:t>
            </w:r>
          </w:p>
        </w:tc>
      </w:tr>
      <w:tr w14:paraId="210B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DD38F86">
            <w:pPr>
              <w:widowControl/>
              <w:jc w:val="center"/>
              <w:rPr>
                <w:rFonts w:hint="eastAsia" w:ascii="宋体" w:hAnsi="宋体" w:cs="宋体"/>
                <w:kern w:val="0"/>
                <w:sz w:val="21"/>
                <w:szCs w:val="21"/>
              </w:rPr>
            </w:pPr>
          </w:p>
        </w:tc>
        <w:tc>
          <w:tcPr>
            <w:tcW w:w="7094" w:type="dxa"/>
            <w:gridSpan w:val="2"/>
          </w:tcPr>
          <w:p w14:paraId="5835BFCD">
            <w:pPr>
              <w:jc w:val="left"/>
              <w:rPr>
                <w:rFonts w:hint="eastAsia" w:ascii="宋体" w:hAnsi="宋体" w:cs="宋体"/>
                <w:sz w:val="21"/>
                <w:szCs w:val="21"/>
              </w:rPr>
            </w:pPr>
            <w:r>
              <w:rPr>
                <w:rFonts w:hint="eastAsia" w:ascii="宋体" w:hAnsi="宋体" w:cs="宋体"/>
                <w:sz w:val="21"/>
                <w:szCs w:val="21"/>
              </w:rPr>
              <w:t>支持体检系统修改姓名、性别等基础信息时，导检系统实时同步更新。</w:t>
            </w:r>
          </w:p>
        </w:tc>
      </w:tr>
      <w:tr w14:paraId="627F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316AC80">
            <w:pPr>
              <w:widowControl/>
              <w:jc w:val="center"/>
              <w:rPr>
                <w:rFonts w:hint="eastAsia" w:ascii="宋体" w:hAnsi="宋体" w:cs="宋体"/>
                <w:kern w:val="0"/>
                <w:sz w:val="21"/>
                <w:szCs w:val="21"/>
              </w:rPr>
            </w:pPr>
          </w:p>
        </w:tc>
        <w:tc>
          <w:tcPr>
            <w:tcW w:w="7094" w:type="dxa"/>
            <w:gridSpan w:val="2"/>
          </w:tcPr>
          <w:p w14:paraId="16735B3C">
            <w:pPr>
              <w:widowControl/>
              <w:jc w:val="left"/>
              <w:rPr>
                <w:rFonts w:hint="eastAsia" w:ascii="宋体" w:hAnsi="宋体" w:cs="宋体"/>
                <w:kern w:val="0"/>
                <w:sz w:val="21"/>
                <w:szCs w:val="21"/>
              </w:rPr>
            </w:pPr>
            <w:r>
              <w:rPr>
                <w:rFonts w:hint="eastAsia" w:ascii="宋体" w:hAnsi="宋体" w:cs="宋体"/>
                <w:sz w:val="21"/>
                <w:szCs w:val="21"/>
              </w:rPr>
              <w:t>支持体检系统中增、减客户项目后，导检系统实时同步，并提示客户当前待检的科室名称</w:t>
            </w:r>
            <w:r>
              <w:rPr>
                <w:rFonts w:hint="eastAsia" w:ascii="宋体" w:hAnsi="宋体" w:cs="宋体"/>
                <w:color w:val="000000"/>
                <w:sz w:val="21"/>
                <w:szCs w:val="21"/>
              </w:rPr>
              <w:t>。</w:t>
            </w:r>
          </w:p>
        </w:tc>
      </w:tr>
      <w:tr w14:paraId="62E9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8B41807">
            <w:pPr>
              <w:widowControl/>
              <w:jc w:val="center"/>
              <w:rPr>
                <w:rFonts w:hint="eastAsia" w:ascii="宋体" w:hAnsi="宋体" w:cs="宋体"/>
                <w:kern w:val="0"/>
                <w:sz w:val="21"/>
                <w:szCs w:val="21"/>
              </w:rPr>
            </w:pPr>
          </w:p>
        </w:tc>
        <w:tc>
          <w:tcPr>
            <w:tcW w:w="7094" w:type="dxa"/>
            <w:gridSpan w:val="2"/>
          </w:tcPr>
          <w:p w14:paraId="700AA1AD">
            <w:pPr>
              <w:widowControl/>
              <w:jc w:val="left"/>
              <w:rPr>
                <w:rFonts w:hint="eastAsia" w:ascii="宋体" w:hAnsi="宋体" w:cs="宋体"/>
                <w:sz w:val="21"/>
                <w:szCs w:val="21"/>
              </w:rPr>
            </w:pPr>
            <w:r>
              <w:rPr>
                <w:rFonts w:hint="eastAsia" w:ascii="宋体" w:hAnsi="宋体" w:cs="宋体"/>
                <w:sz w:val="21"/>
                <w:szCs w:val="21"/>
              </w:rPr>
              <w:t>支持设置未收费人员是否自动加入导检系统；</w:t>
            </w:r>
          </w:p>
        </w:tc>
      </w:tr>
      <w:tr w14:paraId="5348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C2AE2BA">
            <w:pPr>
              <w:widowControl/>
              <w:jc w:val="center"/>
              <w:rPr>
                <w:rFonts w:hint="eastAsia" w:ascii="宋体" w:hAnsi="宋体" w:cs="宋体"/>
                <w:kern w:val="0"/>
                <w:sz w:val="21"/>
                <w:szCs w:val="21"/>
              </w:rPr>
            </w:pPr>
          </w:p>
        </w:tc>
        <w:tc>
          <w:tcPr>
            <w:tcW w:w="7094" w:type="dxa"/>
            <w:gridSpan w:val="2"/>
          </w:tcPr>
          <w:p w14:paraId="6448AE05">
            <w:pPr>
              <w:widowControl/>
              <w:jc w:val="left"/>
              <w:rPr>
                <w:rFonts w:hint="eastAsia" w:ascii="宋体" w:hAnsi="宋体" w:cs="宋体"/>
                <w:sz w:val="21"/>
                <w:szCs w:val="21"/>
              </w:rPr>
            </w:pPr>
            <w:r>
              <w:rPr>
                <w:rFonts w:hint="eastAsia" w:ascii="宋体" w:hAnsi="宋体" w:cs="宋体"/>
                <w:sz w:val="21"/>
                <w:szCs w:val="21"/>
              </w:rPr>
              <w:t>支持VIP客户多级标识，实现不同级别VIP差异化优先机制；</w:t>
            </w:r>
          </w:p>
        </w:tc>
      </w:tr>
      <w:tr w14:paraId="34FD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38CBEA88">
            <w:pPr>
              <w:spacing w:before="156" w:beforeLines="50"/>
              <w:jc w:val="center"/>
              <w:rPr>
                <w:rFonts w:hint="eastAsia" w:ascii="宋体" w:hAnsi="宋体" w:cs="宋体"/>
                <w:b/>
                <w:bCs/>
                <w:color w:val="000000"/>
                <w:sz w:val="21"/>
                <w:szCs w:val="21"/>
              </w:rPr>
            </w:pPr>
            <w:r>
              <w:rPr>
                <w:rFonts w:hint="eastAsia" w:ascii="宋体" w:hAnsi="宋体" w:cs="宋体"/>
                <w:b/>
                <w:bCs/>
                <w:color w:val="000000"/>
                <w:sz w:val="21"/>
                <w:szCs w:val="21"/>
              </w:rPr>
              <w:t>总导诊台/分诊导诊台</w:t>
            </w:r>
          </w:p>
          <w:p w14:paraId="262E7BAA">
            <w:pPr>
              <w:tabs>
                <w:tab w:val="left" w:pos="507"/>
              </w:tabs>
              <w:jc w:val="left"/>
              <w:rPr>
                <w:rFonts w:hint="eastAsia" w:ascii="宋体" w:hAnsi="宋体" w:cs="宋体"/>
                <w:color w:val="000000"/>
                <w:sz w:val="21"/>
                <w:szCs w:val="21"/>
              </w:rPr>
            </w:pPr>
            <w:r>
              <w:rPr>
                <w:rFonts w:hint="eastAsia" w:ascii="宋体" w:hAnsi="宋体" w:cs="宋体"/>
                <w:b/>
                <w:bCs/>
                <w:color w:val="000000"/>
                <w:sz w:val="21"/>
                <w:szCs w:val="21"/>
              </w:rPr>
              <w:t>（护士站）</w:t>
            </w:r>
          </w:p>
        </w:tc>
        <w:tc>
          <w:tcPr>
            <w:tcW w:w="7094" w:type="dxa"/>
            <w:gridSpan w:val="2"/>
          </w:tcPr>
          <w:p w14:paraId="604AE9F2">
            <w:pPr>
              <w:jc w:val="left"/>
              <w:rPr>
                <w:rFonts w:hint="eastAsia" w:ascii="宋体" w:hAnsi="宋体" w:cs="宋体"/>
                <w:sz w:val="21"/>
                <w:szCs w:val="21"/>
              </w:rPr>
            </w:pPr>
            <w:r>
              <w:rPr>
                <w:rFonts w:ascii="Arial" w:hAnsi="Arial" w:eastAsia="等线" w:cs="Arial"/>
                <w:sz w:val="21"/>
                <w:szCs w:val="21"/>
              </w:rPr>
              <w:t>支持设置当日最大接待人数，达到上限时系统及时提醒，引导客户进入等候区</w:t>
            </w:r>
            <w:r>
              <w:rPr>
                <w:rFonts w:hint="eastAsia" w:ascii="宋体" w:hAnsi="宋体" w:cs="宋体"/>
                <w:sz w:val="21"/>
                <w:szCs w:val="21"/>
              </w:rPr>
              <w:t>；</w:t>
            </w:r>
          </w:p>
        </w:tc>
      </w:tr>
      <w:tr w14:paraId="08A5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E43C27B">
            <w:pPr>
              <w:tabs>
                <w:tab w:val="left" w:pos="507"/>
              </w:tabs>
              <w:jc w:val="left"/>
              <w:rPr>
                <w:rFonts w:hint="eastAsia" w:ascii="宋体" w:hAnsi="宋体" w:cs="宋体"/>
                <w:kern w:val="0"/>
                <w:sz w:val="21"/>
                <w:szCs w:val="21"/>
              </w:rPr>
            </w:pPr>
          </w:p>
        </w:tc>
        <w:tc>
          <w:tcPr>
            <w:tcW w:w="7094" w:type="dxa"/>
            <w:gridSpan w:val="2"/>
          </w:tcPr>
          <w:p w14:paraId="0888F182">
            <w:pPr>
              <w:jc w:val="left"/>
              <w:rPr>
                <w:rFonts w:hint="eastAsia" w:ascii="宋体" w:hAnsi="宋体" w:cs="宋体"/>
                <w:sz w:val="21"/>
                <w:szCs w:val="21"/>
              </w:rPr>
            </w:pPr>
            <w:r>
              <w:rPr>
                <w:rFonts w:ascii="Arial" w:hAnsi="Arial" w:eastAsia="等线" w:cs="Arial"/>
                <w:sz w:val="21"/>
                <w:szCs w:val="21"/>
              </w:rPr>
              <w:t>支持队列显示顺序调整，可自定义各科室队列排序规则</w:t>
            </w:r>
            <w:r>
              <w:rPr>
                <w:rFonts w:hint="eastAsia" w:ascii="Arial" w:hAnsi="Arial" w:eastAsia="等线" w:cs="Arial"/>
                <w:sz w:val="21"/>
                <w:szCs w:val="21"/>
              </w:rPr>
              <w:t>；</w:t>
            </w:r>
          </w:p>
        </w:tc>
      </w:tr>
      <w:tr w14:paraId="7B78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48724DE">
            <w:pPr>
              <w:tabs>
                <w:tab w:val="left" w:pos="507"/>
              </w:tabs>
              <w:jc w:val="left"/>
              <w:rPr>
                <w:rFonts w:hint="eastAsia" w:ascii="宋体" w:hAnsi="宋体" w:cs="宋体"/>
                <w:kern w:val="0"/>
                <w:sz w:val="21"/>
                <w:szCs w:val="21"/>
              </w:rPr>
            </w:pPr>
          </w:p>
        </w:tc>
        <w:tc>
          <w:tcPr>
            <w:tcW w:w="7094" w:type="dxa"/>
            <w:gridSpan w:val="2"/>
          </w:tcPr>
          <w:p w14:paraId="4F9E0023">
            <w:pPr>
              <w:jc w:val="left"/>
              <w:rPr>
                <w:rFonts w:hint="eastAsia" w:ascii="宋体" w:hAnsi="宋体" w:cs="宋体"/>
                <w:sz w:val="21"/>
                <w:szCs w:val="21"/>
              </w:rPr>
            </w:pPr>
            <w:r>
              <w:rPr>
                <w:rFonts w:hint="eastAsia" w:ascii="宋体" w:hAnsi="宋体" w:cs="宋体"/>
                <w:sz w:val="21"/>
                <w:szCs w:val="21"/>
              </w:rPr>
              <w:t>可快速筛选队列，可按区域、类型等多维度筛选；</w:t>
            </w:r>
          </w:p>
        </w:tc>
      </w:tr>
      <w:tr w14:paraId="3F10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6B959A8">
            <w:pPr>
              <w:tabs>
                <w:tab w:val="left" w:pos="507"/>
              </w:tabs>
              <w:jc w:val="left"/>
              <w:rPr>
                <w:rFonts w:hint="eastAsia" w:ascii="宋体" w:hAnsi="宋体" w:cs="宋体"/>
                <w:kern w:val="0"/>
                <w:sz w:val="21"/>
                <w:szCs w:val="21"/>
              </w:rPr>
            </w:pPr>
          </w:p>
        </w:tc>
        <w:tc>
          <w:tcPr>
            <w:tcW w:w="7094" w:type="dxa"/>
            <w:gridSpan w:val="2"/>
          </w:tcPr>
          <w:p w14:paraId="2FB1477E">
            <w:pPr>
              <w:jc w:val="left"/>
              <w:rPr>
                <w:rFonts w:hint="eastAsia" w:ascii="宋体" w:hAnsi="宋体" w:cs="宋体"/>
                <w:sz w:val="21"/>
                <w:szCs w:val="21"/>
              </w:rPr>
            </w:pPr>
            <w:r>
              <w:rPr>
                <w:rFonts w:hint="eastAsia" w:ascii="宋体" w:hAnsi="宋体" w:cs="宋体"/>
                <w:sz w:val="21"/>
                <w:szCs w:val="21"/>
              </w:rPr>
              <w:t>可显示/隐藏部分科室，实现差异化、个性化关注重点排队科室；</w:t>
            </w:r>
          </w:p>
        </w:tc>
      </w:tr>
      <w:tr w14:paraId="1799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4923464">
            <w:pPr>
              <w:tabs>
                <w:tab w:val="left" w:pos="507"/>
              </w:tabs>
              <w:jc w:val="left"/>
              <w:rPr>
                <w:rFonts w:hint="eastAsia" w:ascii="宋体" w:hAnsi="宋体" w:cs="宋体"/>
                <w:kern w:val="0"/>
                <w:sz w:val="21"/>
                <w:szCs w:val="21"/>
              </w:rPr>
            </w:pPr>
          </w:p>
        </w:tc>
        <w:tc>
          <w:tcPr>
            <w:tcW w:w="7094" w:type="dxa"/>
            <w:gridSpan w:val="2"/>
          </w:tcPr>
          <w:p w14:paraId="67F0AFE7">
            <w:pPr>
              <w:jc w:val="left"/>
              <w:rPr>
                <w:rFonts w:hint="eastAsia" w:ascii="宋体" w:hAnsi="宋体" w:cs="宋体"/>
                <w:sz w:val="21"/>
                <w:szCs w:val="21"/>
              </w:rPr>
            </w:pPr>
            <w:r>
              <w:rPr>
                <w:rFonts w:hint="eastAsia" w:ascii="宋体" w:hAnsi="宋体" w:cs="宋体"/>
                <w:sz w:val="21"/>
                <w:szCs w:val="21"/>
              </w:rPr>
              <w:t>权限管理，基于角色权限，可细分转移、删除等操作权限范围；</w:t>
            </w:r>
          </w:p>
        </w:tc>
      </w:tr>
      <w:tr w14:paraId="5486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6CC7E2F">
            <w:pPr>
              <w:tabs>
                <w:tab w:val="left" w:pos="507"/>
              </w:tabs>
              <w:jc w:val="left"/>
              <w:rPr>
                <w:rFonts w:hint="eastAsia" w:ascii="宋体" w:hAnsi="宋体" w:cs="宋体"/>
                <w:kern w:val="0"/>
                <w:sz w:val="21"/>
                <w:szCs w:val="21"/>
              </w:rPr>
            </w:pPr>
          </w:p>
        </w:tc>
        <w:tc>
          <w:tcPr>
            <w:tcW w:w="7094" w:type="dxa"/>
            <w:gridSpan w:val="2"/>
          </w:tcPr>
          <w:p w14:paraId="0E119B7B">
            <w:pPr>
              <w:jc w:val="left"/>
              <w:rPr>
                <w:rFonts w:hint="eastAsia" w:ascii="宋体" w:hAnsi="宋体" w:cs="宋体"/>
                <w:sz w:val="21"/>
                <w:szCs w:val="21"/>
              </w:rPr>
            </w:pPr>
            <w:r>
              <w:rPr>
                <w:rFonts w:hint="eastAsia" w:ascii="宋体" w:hAnsi="宋体" w:cs="宋体"/>
                <w:sz w:val="21"/>
                <w:szCs w:val="21"/>
              </w:rPr>
              <w:t>支持控制科室开启、关闭等功能；</w:t>
            </w:r>
          </w:p>
        </w:tc>
      </w:tr>
      <w:tr w14:paraId="1F4A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557AFBA">
            <w:pPr>
              <w:tabs>
                <w:tab w:val="left" w:pos="507"/>
              </w:tabs>
              <w:jc w:val="left"/>
              <w:rPr>
                <w:rFonts w:hint="eastAsia" w:ascii="宋体" w:hAnsi="宋体" w:cs="宋体"/>
                <w:kern w:val="0"/>
                <w:sz w:val="21"/>
                <w:szCs w:val="21"/>
              </w:rPr>
            </w:pPr>
          </w:p>
        </w:tc>
        <w:tc>
          <w:tcPr>
            <w:tcW w:w="7094" w:type="dxa"/>
            <w:gridSpan w:val="2"/>
          </w:tcPr>
          <w:p w14:paraId="2FFD30E9">
            <w:pPr>
              <w:jc w:val="left"/>
              <w:rPr>
                <w:rFonts w:hint="eastAsia" w:ascii="宋体" w:hAnsi="宋体" w:cs="宋体"/>
                <w:sz w:val="21"/>
                <w:szCs w:val="21"/>
              </w:rPr>
            </w:pPr>
            <w:r>
              <w:rPr>
                <w:rFonts w:hint="eastAsia" w:ascii="宋体" w:hAnsi="宋体" w:cs="宋体"/>
                <w:sz w:val="21"/>
                <w:szCs w:val="21"/>
              </w:rPr>
              <w:t>可查看科室排队情况，总览各科室人员分布状态；</w:t>
            </w:r>
          </w:p>
        </w:tc>
      </w:tr>
      <w:tr w14:paraId="2E0E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32C2ACF">
            <w:pPr>
              <w:widowControl/>
              <w:tabs>
                <w:tab w:val="left" w:pos="507"/>
              </w:tabs>
              <w:jc w:val="left"/>
              <w:rPr>
                <w:rFonts w:hint="eastAsia" w:ascii="宋体" w:hAnsi="宋体" w:cs="宋体"/>
                <w:kern w:val="0"/>
                <w:sz w:val="21"/>
                <w:szCs w:val="21"/>
              </w:rPr>
            </w:pPr>
          </w:p>
        </w:tc>
        <w:tc>
          <w:tcPr>
            <w:tcW w:w="7094" w:type="dxa"/>
            <w:gridSpan w:val="2"/>
          </w:tcPr>
          <w:p w14:paraId="10733040">
            <w:pPr>
              <w:jc w:val="left"/>
              <w:rPr>
                <w:rFonts w:hint="eastAsia" w:ascii="宋体" w:hAnsi="宋体" w:cs="宋体"/>
                <w:kern w:val="0"/>
                <w:sz w:val="21"/>
                <w:szCs w:val="21"/>
              </w:rPr>
            </w:pPr>
            <w:r>
              <w:rPr>
                <w:rFonts w:ascii="Arial" w:hAnsi="Arial" w:eastAsia="等线" w:cs="Arial"/>
                <w:sz w:val="22"/>
              </w:rPr>
              <w:t>可独立设置科室在线/离线状态、开诊时间及优先级，实现预排队功能，缩短医生闲置时间</w:t>
            </w:r>
            <w:r>
              <w:rPr>
                <w:rFonts w:hint="eastAsia" w:ascii="Arial" w:hAnsi="Arial" w:eastAsia="等线" w:cs="Arial"/>
                <w:sz w:val="22"/>
              </w:rPr>
              <w:t>；</w:t>
            </w:r>
          </w:p>
        </w:tc>
      </w:tr>
      <w:tr w14:paraId="3868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9E9D789">
            <w:pPr>
              <w:widowControl/>
              <w:jc w:val="center"/>
              <w:rPr>
                <w:rFonts w:hint="eastAsia" w:ascii="宋体" w:hAnsi="宋体" w:cs="宋体"/>
                <w:kern w:val="0"/>
                <w:sz w:val="21"/>
                <w:szCs w:val="21"/>
              </w:rPr>
            </w:pPr>
          </w:p>
        </w:tc>
        <w:tc>
          <w:tcPr>
            <w:tcW w:w="7094" w:type="dxa"/>
            <w:gridSpan w:val="2"/>
          </w:tcPr>
          <w:p w14:paraId="6AFE49F4">
            <w:pPr>
              <w:jc w:val="left"/>
              <w:rPr>
                <w:rFonts w:hint="eastAsia" w:ascii="宋体" w:hAnsi="宋体" w:cs="宋体"/>
                <w:kern w:val="0"/>
                <w:sz w:val="21"/>
                <w:szCs w:val="21"/>
              </w:rPr>
            </w:pPr>
            <w:r>
              <w:rPr>
                <w:rFonts w:hint="eastAsia" w:ascii="宋体" w:hAnsi="宋体" w:cs="宋体"/>
                <w:color w:val="000000"/>
                <w:sz w:val="21"/>
                <w:szCs w:val="21"/>
              </w:rPr>
              <w:t>可灵活设置各科室初始队列的在线量；</w:t>
            </w:r>
          </w:p>
        </w:tc>
      </w:tr>
      <w:tr w14:paraId="6154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713F25D">
            <w:pPr>
              <w:widowControl/>
              <w:jc w:val="center"/>
              <w:rPr>
                <w:rFonts w:hint="eastAsia" w:ascii="宋体" w:hAnsi="宋体" w:cs="宋体"/>
                <w:kern w:val="0"/>
                <w:sz w:val="21"/>
                <w:szCs w:val="21"/>
              </w:rPr>
            </w:pPr>
          </w:p>
        </w:tc>
        <w:tc>
          <w:tcPr>
            <w:tcW w:w="7094" w:type="dxa"/>
            <w:gridSpan w:val="2"/>
          </w:tcPr>
          <w:p w14:paraId="4345A191">
            <w:pPr>
              <w:jc w:val="left"/>
              <w:rPr>
                <w:rFonts w:hint="eastAsia" w:ascii="宋体" w:hAnsi="宋体" w:cs="宋体"/>
                <w:color w:val="000000"/>
                <w:sz w:val="21"/>
                <w:szCs w:val="21"/>
              </w:rPr>
            </w:pPr>
            <w:r>
              <w:rPr>
                <w:rFonts w:hint="eastAsia" w:ascii="宋体" w:hAnsi="宋体" w:cs="宋体"/>
                <w:color w:val="000000"/>
                <w:sz w:val="21"/>
                <w:szCs w:val="21"/>
              </w:rPr>
              <w:t>支持信息预警，对一个或多个队列人数超负荷时，已醒目颜色提醒；</w:t>
            </w:r>
          </w:p>
        </w:tc>
      </w:tr>
      <w:tr w14:paraId="3B8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C17F16C">
            <w:pPr>
              <w:widowControl/>
              <w:jc w:val="center"/>
              <w:rPr>
                <w:rFonts w:hint="eastAsia" w:ascii="宋体" w:hAnsi="宋体" w:cs="宋体"/>
                <w:kern w:val="0"/>
                <w:sz w:val="21"/>
                <w:szCs w:val="21"/>
              </w:rPr>
            </w:pPr>
          </w:p>
        </w:tc>
        <w:tc>
          <w:tcPr>
            <w:tcW w:w="7094" w:type="dxa"/>
            <w:gridSpan w:val="2"/>
          </w:tcPr>
          <w:p w14:paraId="0D958152">
            <w:pPr>
              <w:jc w:val="left"/>
              <w:rPr>
                <w:rFonts w:hint="eastAsia" w:ascii="宋体" w:hAnsi="宋体" w:cs="宋体"/>
                <w:kern w:val="0"/>
                <w:sz w:val="21"/>
                <w:szCs w:val="21"/>
              </w:rPr>
            </w:pPr>
            <w:r>
              <w:rPr>
                <w:rFonts w:hint="eastAsia" w:ascii="宋体" w:hAnsi="宋体" w:cs="宋体"/>
                <w:color w:val="000000"/>
                <w:sz w:val="21"/>
                <w:szCs w:val="21"/>
              </w:rPr>
              <w:t>可灵活的单人或批量调配人员队列、起到灵活的疏导；</w:t>
            </w:r>
          </w:p>
        </w:tc>
      </w:tr>
      <w:tr w14:paraId="4EAC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50FD513">
            <w:pPr>
              <w:widowControl/>
              <w:jc w:val="center"/>
              <w:rPr>
                <w:rFonts w:hint="eastAsia" w:ascii="宋体" w:hAnsi="宋体" w:cs="宋体"/>
                <w:kern w:val="0"/>
                <w:sz w:val="21"/>
                <w:szCs w:val="21"/>
              </w:rPr>
            </w:pPr>
          </w:p>
        </w:tc>
        <w:tc>
          <w:tcPr>
            <w:tcW w:w="7094" w:type="dxa"/>
            <w:gridSpan w:val="2"/>
          </w:tcPr>
          <w:p w14:paraId="7B6E39CD">
            <w:pPr>
              <w:jc w:val="left"/>
              <w:rPr>
                <w:rFonts w:hint="eastAsia" w:ascii="宋体" w:hAnsi="宋体" w:cs="宋体"/>
                <w:color w:val="000000"/>
                <w:sz w:val="21"/>
                <w:szCs w:val="21"/>
              </w:rPr>
            </w:pPr>
            <w:r>
              <w:rPr>
                <w:rFonts w:ascii="宋体" w:hAnsi="宋体" w:cs="宋体"/>
                <w:color w:val="000000"/>
                <w:sz w:val="21"/>
                <w:szCs w:val="21"/>
              </w:rPr>
              <w:t>支持插队操作及指定客户前往某科室检查</w:t>
            </w:r>
            <w:r>
              <w:rPr>
                <w:rFonts w:hint="eastAsia" w:ascii="宋体" w:hAnsi="宋体" w:cs="宋体"/>
                <w:color w:val="000000"/>
                <w:sz w:val="21"/>
                <w:szCs w:val="21"/>
              </w:rPr>
              <w:t>；</w:t>
            </w:r>
          </w:p>
        </w:tc>
      </w:tr>
      <w:tr w14:paraId="6EA1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8545375">
            <w:pPr>
              <w:widowControl/>
              <w:jc w:val="center"/>
              <w:rPr>
                <w:rFonts w:hint="eastAsia" w:ascii="宋体" w:hAnsi="宋体" w:cs="宋体"/>
                <w:kern w:val="0"/>
                <w:sz w:val="21"/>
                <w:szCs w:val="21"/>
              </w:rPr>
            </w:pPr>
          </w:p>
        </w:tc>
        <w:tc>
          <w:tcPr>
            <w:tcW w:w="7094" w:type="dxa"/>
            <w:gridSpan w:val="2"/>
          </w:tcPr>
          <w:p w14:paraId="66127F13">
            <w:pPr>
              <w:jc w:val="left"/>
              <w:rPr>
                <w:rFonts w:hint="eastAsia" w:ascii="宋体" w:hAnsi="宋体" w:cs="宋体"/>
                <w:kern w:val="0"/>
                <w:sz w:val="21"/>
                <w:szCs w:val="21"/>
              </w:rPr>
            </w:pPr>
            <w:r>
              <w:rPr>
                <w:rFonts w:hint="eastAsia" w:ascii="宋体" w:hAnsi="宋体" w:cs="宋体"/>
                <w:color w:val="000000"/>
                <w:sz w:val="21"/>
                <w:szCs w:val="21"/>
              </w:rPr>
              <w:t>支持扫描条形码人员所在科室、并定位的所在的科室；</w:t>
            </w:r>
          </w:p>
        </w:tc>
      </w:tr>
      <w:tr w14:paraId="75A59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6C1AFF2">
            <w:pPr>
              <w:widowControl/>
              <w:jc w:val="center"/>
              <w:rPr>
                <w:rFonts w:hint="eastAsia" w:ascii="宋体" w:hAnsi="宋体" w:cs="宋体"/>
                <w:kern w:val="0"/>
                <w:sz w:val="21"/>
                <w:szCs w:val="21"/>
              </w:rPr>
            </w:pPr>
          </w:p>
        </w:tc>
        <w:tc>
          <w:tcPr>
            <w:tcW w:w="7094" w:type="dxa"/>
            <w:gridSpan w:val="2"/>
          </w:tcPr>
          <w:p w14:paraId="5F87BE8A">
            <w:pPr>
              <w:jc w:val="left"/>
              <w:rPr>
                <w:rFonts w:hint="eastAsia" w:ascii="宋体" w:hAnsi="宋体" w:cs="宋体"/>
                <w:kern w:val="0"/>
                <w:sz w:val="21"/>
                <w:szCs w:val="21"/>
              </w:rPr>
            </w:pPr>
            <w:r>
              <w:rPr>
                <w:rFonts w:hint="eastAsia" w:ascii="宋体" w:hAnsi="宋体" w:cs="宋体"/>
                <w:color w:val="000000"/>
                <w:sz w:val="21"/>
                <w:szCs w:val="21"/>
              </w:rPr>
              <w:t>动态显示各科室的人员在线量以及队列变化情况；</w:t>
            </w:r>
          </w:p>
        </w:tc>
      </w:tr>
      <w:tr w14:paraId="0A76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C77ED4A">
            <w:pPr>
              <w:widowControl/>
              <w:jc w:val="center"/>
              <w:rPr>
                <w:rFonts w:hint="eastAsia" w:ascii="宋体" w:hAnsi="宋体" w:cs="宋体"/>
                <w:kern w:val="0"/>
                <w:sz w:val="21"/>
                <w:szCs w:val="21"/>
              </w:rPr>
            </w:pPr>
          </w:p>
        </w:tc>
        <w:tc>
          <w:tcPr>
            <w:tcW w:w="7094" w:type="dxa"/>
            <w:gridSpan w:val="2"/>
          </w:tcPr>
          <w:p w14:paraId="4FD71CC1">
            <w:pPr>
              <w:jc w:val="left"/>
              <w:rPr>
                <w:rFonts w:hint="eastAsia" w:ascii="宋体" w:hAnsi="宋体" w:cs="宋体"/>
                <w:kern w:val="0"/>
                <w:sz w:val="21"/>
                <w:szCs w:val="21"/>
              </w:rPr>
            </w:pPr>
            <w:r>
              <w:rPr>
                <w:rFonts w:hint="eastAsia" w:ascii="宋体" w:hAnsi="宋体" w:cs="宋体"/>
                <w:color w:val="000000"/>
                <w:sz w:val="21"/>
                <w:szCs w:val="21"/>
              </w:rPr>
              <w:t>支持独立队列与全科导检队列的同屏显示；</w:t>
            </w:r>
          </w:p>
        </w:tc>
      </w:tr>
      <w:tr w14:paraId="564E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FBFB43B">
            <w:pPr>
              <w:widowControl/>
              <w:jc w:val="center"/>
              <w:rPr>
                <w:rFonts w:hint="eastAsia" w:ascii="宋体" w:hAnsi="宋体" w:cs="宋体"/>
                <w:kern w:val="0"/>
                <w:sz w:val="21"/>
                <w:szCs w:val="21"/>
              </w:rPr>
            </w:pPr>
          </w:p>
        </w:tc>
        <w:tc>
          <w:tcPr>
            <w:tcW w:w="7094" w:type="dxa"/>
            <w:gridSpan w:val="2"/>
          </w:tcPr>
          <w:p w14:paraId="4871F19B">
            <w:pPr>
              <w:jc w:val="left"/>
              <w:rPr>
                <w:rFonts w:hint="eastAsia" w:ascii="宋体" w:hAnsi="宋体" w:cs="宋体"/>
                <w:color w:val="000000"/>
                <w:sz w:val="21"/>
                <w:szCs w:val="21"/>
              </w:rPr>
            </w:pPr>
            <w:r>
              <w:rPr>
                <w:rFonts w:ascii="宋体" w:hAnsi="宋体" w:cs="宋体"/>
                <w:color w:val="000000"/>
                <w:sz w:val="21"/>
                <w:szCs w:val="21"/>
              </w:rPr>
              <w:t>可实时查阅、统计导检状态及医生工作实效，管控就诊时长</w:t>
            </w:r>
            <w:r>
              <w:rPr>
                <w:rFonts w:hint="eastAsia" w:ascii="宋体" w:hAnsi="宋体" w:cs="宋体"/>
                <w:color w:val="000000"/>
                <w:sz w:val="21"/>
                <w:szCs w:val="21"/>
              </w:rPr>
              <w:t>；</w:t>
            </w:r>
          </w:p>
        </w:tc>
      </w:tr>
      <w:tr w14:paraId="34B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3690AE2">
            <w:pPr>
              <w:widowControl/>
              <w:jc w:val="center"/>
              <w:rPr>
                <w:rFonts w:hint="eastAsia" w:ascii="宋体" w:hAnsi="宋体" w:cs="宋体"/>
                <w:kern w:val="0"/>
                <w:sz w:val="21"/>
                <w:szCs w:val="21"/>
              </w:rPr>
            </w:pPr>
          </w:p>
        </w:tc>
        <w:tc>
          <w:tcPr>
            <w:tcW w:w="7094" w:type="dxa"/>
            <w:gridSpan w:val="2"/>
          </w:tcPr>
          <w:p w14:paraId="0FD33574">
            <w:pPr>
              <w:jc w:val="left"/>
              <w:rPr>
                <w:rFonts w:hint="eastAsia" w:ascii="宋体" w:hAnsi="宋体" w:cs="宋体"/>
                <w:kern w:val="0"/>
                <w:sz w:val="21"/>
                <w:szCs w:val="21"/>
              </w:rPr>
            </w:pPr>
            <w:r>
              <w:rPr>
                <w:rFonts w:ascii="宋体" w:hAnsi="宋体" w:cs="宋体"/>
                <w:color w:val="000000"/>
                <w:sz w:val="21"/>
                <w:szCs w:val="21"/>
              </w:rPr>
              <w:t>支持特殊客户优先处理机制，可设置特殊客户优先完成单个或</w:t>
            </w:r>
            <w:r>
              <w:rPr>
                <w:rFonts w:hint="eastAsia" w:ascii="宋体" w:hAnsi="宋体" w:cs="宋体"/>
                <w:color w:val="000000"/>
                <w:sz w:val="21"/>
                <w:szCs w:val="21"/>
              </w:rPr>
              <w:t>多个</w:t>
            </w:r>
            <w:r>
              <w:rPr>
                <w:rFonts w:ascii="宋体" w:hAnsi="宋体" w:cs="宋体"/>
                <w:color w:val="000000"/>
                <w:sz w:val="21"/>
                <w:szCs w:val="21"/>
              </w:rPr>
              <w:t>检查项目</w:t>
            </w:r>
          </w:p>
        </w:tc>
      </w:tr>
      <w:tr w14:paraId="47B6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408A758">
            <w:pPr>
              <w:widowControl/>
              <w:jc w:val="center"/>
              <w:rPr>
                <w:rFonts w:hint="eastAsia" w:ascii="宋体" w:hAnsi="宋体" w:cs="宋体"/>
                <w:kern w:val="0"/>
                <w:sz w:val="21"/>
                <w:szCs w:val="21"/>
              </w:rPr>
            </w:pPr>
          </w:p>
        </w:tc>
        <w:tc>
          <w:tcPr>
            <w:tcW w:w="7094" w:type="dxa"/>
            <w:gridSpan w:val="2"/>
          </w:tcPr>
          <w:p w14:paraId="6B08B28F">
            <w:pPr>
              <w:jc w:val="left"/>
              <w:rPr>
                <w:rFonts w:hint="eastAsia" w:ascii="宋体" w:hAnsi="宋体" w:cs="宋体"/>
                <w:kern w:val="0"/>
                <w:sz w:val="21"/>
                <w:szCs w:val="21"/>
              </w:rPr>
            </w:pPr>
            <w:r>
              <w:rPr>
                <w:rFonts w:hint="eastAsia" w:ascii="宋体" w:hAnsi="宋体" w:cs="宋体"/>
                <w:color w:val="000000"/>
                <w:sz w:val="21"/>
                <w:szCs w:val="21"/>
              </w:rPr>
              <w:t>支持广播通知功能，可定向广播，和全网广播；</w:t>
            </w:r>
          </w:p>
        </w:tc>
      </w:tr>
      <w:tr w14:paraId="25B5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257EDAE">
            <w:pPr>
              <w:widowControl/>
              <w:jc w:val="center"/>
              <w:rPr>
                <w:rFonts w:hint="eastAsia" w:ascii="宋体" w:hAnsi="宋体" w:cs="宋体"/>
                <w:kern w:val="0"/>
                <w:sz w:val="21"/>
                <w:szCs w:val="21"/>
              </w:rPr>
            </w:pPr>
          </w:p>
        </w:tc>
        <w:tc>
          <w:tcPr>
            <w:tcW w:w="7094" w:type="dxa"/>
            <w:gridSpan w:val="2"/>
          </w:tcPr>
          <w:p w14:paraId="12461590">
            <w:pPr>
              <w:jc w:val="left"/>
              <w:rPr>
                <w:rFonts w:hint="eastAsia" w:ascii="宋体" w:hAnsi="宋体" w:cs="宋体"/>
                <w:kern w:val="0"/>
                <w:sz w:val="21"/>
                <w:szCs w:val="21"/>
              </w:rPr>
            </w:pPr>
            <w:r>
              <w:rPr>
                <w:rFonts w:hint="eastAsia" w:ascii="宋体" w:hAnsi="宋体" w:cs="宋体"/>
                <w:color w:val="000000"/>
                <w:sz w:val="21"/>
                <w:szCs w:val="21"/>
              </w:rPr>
              <w:t>能够批量转移客户至其他科室；</w:t>
            </w:r>
          </w:p>
        </w:tc>
      </w:tr>
      <w:tr w14:paraId="141C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0E98573">
            <w:pPr>
              <w:widowControl/>
              <w:jc w:val="center"/>
              <w:rPr>
                <w:rFonts w:hint="eastAsia" w:ascii="宋体" w:hAnsi="宋体" w:cs="宋体"/>
                <w:kern w:val="0"/>
                <w:sz w:val="21"/>
                <w:szCs w:val="21"/>
              </w:rPr>
            </w:pPr>
          </w:p>
        </w:tc>
        <w:tc>
          <w:tcPr>
            <w:tcW w:w="7094" w:type="dxa"/>
            <w:gridSpan w:val="2"/>
          </w:tcPr>
          <w:p w14:paraId="29B15BD4">
            <w:pPr>
              <w:jc w:val="left"/>
              <w:rPr>
                <w:rFonts w:hint="eastAsia" w:ascii="宋体" w:hAnsi="宋体" w:cs="宋体"/>
                <w:kern w:val="0"/>
                <w:sz w:val="21"/>
                <w:szCs w:val="21"/>
              </w:rPr>
            </w:pPr>
            <w:r>
              <w:rPr>
                <w:rFonts w:hint="eastAsia" w:ascii="宋体" w:hAnsi="宋体" w:cs="宋体"/>
                <w:color w:val="000000"/>
                <w:sz w:val="21"/>
                <w:szCs w:val="21"/>
              </w:rPr>
              <w:t>调整队列时，可以指定上移、下移的客户人数；</w:t>
            </w:r>
          </w:p>
        </w:tc>
      </w:tr>
      <w:tr w14:paraId="42B9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92734AD">
            <w:pPr>
              <w:widowControl/>
              <w:jc w:val="center"/>
              <w:rPr>
                <w:rFonts w:hint="eastAsia" w:ascii="宋体" w:hAnsi="宋体" w:cs="宋体"/>
                <w:kern w:val="0"/>
                <w:sz w:val="21"/>
                <w:szCs w:val="21"/>
              </w:rPr>
            </w:pPr>
          </w:p>
        </w:tc>
        <w:tc>
          <w:tcPr>
            <w:tcW w:w="7094" w:type="dxa"/>
            <w:gridSpan w:val="2"/>
          </w:tcPr>
          <w:p w14:paraId="601C8F7C">
            <w:pPr>
              <w:jc w:val="left"/>
              <w:rPr>
                <w:rFonts w:hint="eastAsia" w:ascii="宋体" w:hAnsi="宋体" w:cs="宋体"/>
                <w:kern w:val="0"/>
                <w:sz w:val="21"/>
                <w:szCs w:val="21"/>
              </w:rPr>
            </w:pPr>
            <w:r>
              <w:rPr>
                <w:rFonts w:hint="eastAsia" w:ascii="宋体" w:hAnsi="宋体" w:cs="宋体"/>
                <w:color w:val="000000"/>
                <w:sz w:val="21"/>
                <w:szCs w:val="21"/>
              </w:rPr>
              <w:t>增加查询指定科室的功能，输入科室名称后，可以定位到这个科室的人员列表；</w:t>
            </w:r>
          </w:p>
        </w:tc>
      </w:tr>
      <w:tr w14:paraId="6857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1D25AC0">
            <w:pPr>
              <w:widowControl/>
              <w:jc w:val="center"/>
              <w:rPr>
                <w:rFonts w:hint="eastAsia" w:ascii="宋体" w:hAnsi="宋体" w:cs="宋体"/>
                <w:kern w:val="0"/>
                <w:sz w:val="21"/>
                <w:szCs w:val="21"/>
              </w:rPr>
            </w:pPr>
          </w:p>
        </w:tc>
        <w:tc>
          <w:tcPr>
            <w:tcW w:w="7094" w:type="dxa"/>
            <w:gridSpan w:val="2"/>
          </w:tcPr>
          <w:p w14:paraId="5DF0576F">
            <w:pPr>
              <w:jc w:val="left"/>
              <w:rPr>
                <w:rFonts w:hint="eastAsia" w:ascii="宋体" w:hAnsi="宋体" w:cs="宋体"/>
                <w:kern w:val="0"/>
                <w:sz w:val="21"/>
                <w:szCs w:val="21"/>
              </w:rPr>
            </w:pPr>
            <w:r>
              <w:rPr>
                <w:rFonts w:ascii="宋体" w:hAnsi="宋体" w:cs="宋体"/>
                <w:color w:val="000000"/>
                <w:sz w:val="21"/>
                <w:szCs w:val="21"/>
              </w:rPr>
              <w:t>支持科室检查项目限制配置，如限制部分彩超科室开展心脏、阴超等项目，系统智能分配适配客户</w:t>
            </w:r>
          </w:p>
        </w:tc>
      </w:tr>
      <w:tr w14:paraId="2DBC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FDE5AE7">
            <w:pPr>
              <w:widowControl/>
              <w:jc w:val="center"/>
              <w:rPr>
                <w:rFonts w:hint="eastAsia" w:ascii="宋体" w:hAnsi="宋体" w:cs="宋体"/>
                <w:kern w:val="0"/>
                <w:sz w:val="21"/>
                <w:szCs w:val="21"/>
              </w:rPr>
            </w:pPr>
          </w:p>
        </w:tc>
        <w:tc>
          <w:tcPr>
            <w:tcW w:w="7094" w:type="dxa"/>
            <w:gridSpan w:val="2"/>
          </w:tcPr>
          <w:p w14:paraId="40523B5E">
            <w:pPr>
              <w:widowControl/>
              <w:jc w:val="left"/>
              <w:rPr>
                <w:rFonts w:hint="eastAsia" w:ascii="宋体" w:hAnsi="宋体" w:cs="宋体"/>
                <w:kern w:val="0"/>
                <w:sz w:val="21"/>
                <w:szCs w:val="21"/>
              </w:rPr>
            </w:pPr>
            <w:r>
              <w:rPr>
                <w:rFonts w:hint="eastAsia" w:ascii="宋体" w:hAnsi="宋体" w:cs="宋体"/>
                <w:color w:val="000000"/>
                <w:kern w:val="0"/>
                <w:sz w:val="21"/>
                <w:szCs w:val="21"/>
              </w:rPr>
              <w:t>参数增加默认值设置，隔天自动恢复默认值</w:t>
            </w:r>
            <w:r>
              <w:rPr>
                <w:rFonts w:hint="eastAsia" w:ascii="宋体" w:hAnsi="宋体" w:cs="宋体"/>
                <w:color w:val="000000"/>
                <w:sz w:val="21"/>
                <w:szCs w:val="21"/>
              </w:rPr>
              <w:t>；</w:t>
            </w:r>
          </w:p>
        </w:tc>
      </w:tr>
      <w:tr w14:paraId="17B3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B92843E">
            <w:pPr>
              <w:widowControl/>
              <w:jc w:val="center"/>
              <w:rPr>
                <w:rFonts w:hint="eastAsia" w:ascii="宋体" w:hAnsi="宋体" w:cs="宋体"/>
                <w:kern w:val="0"/>
                <w:sz w:val="21"/>
                <w:szCs w:val="21"/>
              </w:rPr>
            </w:pPr>
          </w:p>
        </w:tc>
        <w:tc>
          <w:tcPr>
            <w:tcW w:w="7094" w:type="dxa"/>
            <w:gridSpan w:val="2"/>
          </w:tcPr>
          <w:p w14:paraId="2EE80FD2">
            <w:pPr>
              <w:widowControl/>
              <w:jc w:val="left"/>
              <w:rPr>
                <w:rFonts w:hint="eastAsia" w:ascii="宋体" w:hAnsi="宋体" w:cs="宋体"/>
                <w:kern w:val="0"/>
                <w:sz w:val="21"/>
                <w:szCs w:val="21"/>
              </w:rPr>
            </w:pPr>
            <w:r>
              <w:rPr>
                <w:rFonts w:hint="eastAsia" w:ascii="宋体" w:hAnsi="宋体" w:cs="宋体"/>
                <w:color w:val="000000"/>
                <w:kern w:val="0"/>
                <w:sz w:val="21"/>
                <w:szCs w:val="21"/>
              </w:rPr>
              <w:t>支持查看体检客户检查轨迹的详细记录</w:t>
            </w:r>
            <w:r>
              <w:rPr>
                <w:rFonts w:hint="eastAsia" w:ascii="宋体" w:hAnsi="宋体" w:cs="宋体"/>
                <w:color w:val="000000"/>
                <w:sz w:val="21"/>
                <w:szCs w:val="21"/>
              </w:rPr>
              <w:t>。</w:t>
            </w:r>
          </w:p>
        </w:tc>
      </w:tr>
      <w:tr w14:paraId="4C1D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7142F5B">
            <w:pPr>
              <w:widowControl/>
              <w:jc w:val="center"/>
              <w:rPr>
                <w:rFonts w:hint="eastAsia" w:ascii="宋体" w:hAnsi="宋体" w:cs="宋体"/>
                <w:kern w:val="0"/>
                <w:sz w:val="21"/>
                <w:szCs w:val="21"/>
              </w:rPr>
            </w:pPr>
          </w:p>
        </w:tc>
        <w:tc>
          <w:tcPr>
            <w:tcW w:w="7094" w:type="dxa"/>
            <w:gridSpan w:val="2"/>
          </w:tcPr>
          <w:p w14:paraId="0C69A64E">
            <w:pPr>
              <w:widowControl/>
              <w:jc w:val="left"/>
              <w:rPr>
                <w:rFonts w:hint="eastAsia" w:ascii="宋体" w:hAnsi="宋体" w:cs="宋体"/>
                <w:kern w:val="0"/>
                <w:sz w:val="21"/>
                <w:szCs w:val="21"/>
              </w:rPr>
            </w:pPr>
            <w:r>
              <w:rPr>
                <w:rFonts w:hint="eastAsia" w:ascii="宋体" w:hAnsi="宋体" w:cs="宋体"/>
                <w:color w:val="000000"/>
                <w:kern w:val="0"/>
                <w:sz w:val="21"/>
                <w:szCs w:val="21"/>
              </w:rPr>
              <w:t>支持陪检模式，可设置多人为一组，执行统一的检查流程</w:t>
            </w:r>
            <w:r>
              <w:rPr>
                <w:rFonts w:hint="eastAsia" w:ascii="宋体" w:hAnsi="宋体" w:cs="宋体"/>
                <w:color w:val="000000"/>
                <w:sz w:val="21"/>
                <w:szCs w:val="21"/>
              </w:rPr>
              <w:t>。</w:t>
            </w:r>
          </w:p>
        </w:tc>
      </w:tr>
      <w:tr w14:paraId="7903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ACB03C5">
            <w:pPr>
              <w:widowControl/>
              <w:jc w:val="center"/>
              <w:rPr>
                <w:rFonts w:hint="eastAsia" w:ascii="宋体" w:hAnsi="宋体" w:cs="宋体"/>
                <w:kern w:val="0"/>
                <w:sz w:val="21"/>
                <w:szCs w:val="21"/>
              </w:rPr>
            </w:pPr>
          </w:p>
        </w:tc>
        <w:tc>
          <w:tcPr>
            <w:tcW w:w="7094" w:type="dxa"/>
            <w:gridSpan w:val="2"/>
          </w:tcPr>
          <w:p w14:paraId="495C67B8">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支持体检客户检查流程回放查阅，记录排入/排出科室时间，记录操作日志。</w:t>
            </w:r>
          </w:p>
        </w:tc>
      </w:tr>
      <w:tr w14:paraId="6652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48739F6">
            <w:pPr>
              <w:widowControl/>
              <w:jc w:val="center"/>
              <w:rPr>
                <w:rFonts w:hint="eastAsia" w:ascii="宋体" w:hAnsi="宋体" w:cs="宋体"/>
                <w:kern w:val="0"/>
                <w:sz w:val="21"/>
                <w:szCs w:val="21"/>
              </w:rPr>
            </w:pPr>
          </w:p>
        </w:tc>
        <w:tc>
          <w:tcPr>
            <w:tcW w:w="7094" w:type="dxa"/>
            <w:gridSpan w:val="2"/>
          </w:tcPr>
          <w:p w14:paraId="72C763F6">
            <w:pPr>
              <w:widowControl/>
              <w:jc w:val="left"/>
              <w:rPr>
                <w:rFonts w:hint="eastAsia" w:ascii="宋体" w:hAnsi="宋体" w:cs="宋体"/>
                <w:kern w:val="0"/>
                <w:sz w:val="21"/>
                <w:szCs w:val="21"/>
              </w:rPr>
            </w:pPr>
            <w:r>
              <w:rPr>
                <w:rFonts w:hint="eastAsia" w:ascii="宋体" w:hAnsi="宋体" w:cs="宋体"/>
                <w:color w:val="000000"/>
                <w:kern w:val="0"/>
                <w:sz w:val="21"/>
                <w:szCs w:val="21"/>
              </w:rPr>
              <w:t>转移特殊人群支持自定义选择检查轨迹，按照所选轨迹进行体检</w:t>
            </w:r>
            <w:r>
              <w:rPr>
                <w:rFonts w:hint="eastAsia" w:ascii="宋体" w:hAnsi="宋体" w:cs="宋体"/>
                <w:color w:val="000000"/>
                <w:sz w:val="21"/>
                <w:szCs w:val="21"/>
              </w:rPr>
              <w:t>。</w:t>
            </w:r>
          </w:p>
        </w:tc>
      </w:tr>
      <w:tr w14:paraId="5FA3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E506E17">
            <w:pPr>
              <w:widowControl/>
              <w:jc w:val="center"/>
              <w:rPr>
                <w:rFonts w:hint="eastAsia" w:ascii="宋体" w:hAnsi="宋体" w:cs="宋体"/>
                <w:kern w:val="0"/>
                <w:sz w:val="21"/>
                <w:szCs w:val="21"/>
              </w:rPr>
            </w:pPr>
          </w:p>
        </w:tc>
        <w:tc>
          <w:tcPr>
            <w:tcW w:w="7094" w:type="dxa"/>
            <w:gridSpan w:val="2"/>
          </w:tcPr>
          <w:p w14:paraId="4E9C5CDE">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支持自动更新，当检测有新版本时自动升级，保持版本一致性；</w:t>
            </w:r>
          </w:p>
        </w:tc>
      </w:tr>
      <w:tr w14:paraId="7887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11952384">
            <w:pPr>
              <w:spacing w:before="156" w:beforeLines="50"/>
              <w:jc w:val="center"/>
              <w:rPr>
                <w:rFonts w:hint="eastAsia" w:ascii="宋体" w:hAnsi="宋体" w:cs="宋体"/>
                <w:b/>
                <w:bCs/>
                <w:color w:val="000000"/>
                <w:sz w:val="21"/>
                <w:szCs w:val="21"/>
              </w:rPr>
            </w:pPr>
            <w:r>
              <w:rPr>
                <w:rFonts w:hint="eastAsia" w:ascii="宋体" w:hAnsi="宋体" w:cs="宋体"/>
                <w:b/>
                <w:bCs/>
                <w:color w:val="000000"/>
                <w:sz w:val="21"/>
                <w:szCs w:val="21"/>
              </w:rPr>
              <w:t>呼叫台</w:t>
            </w:r>
          </w:p>
          <w:p w14:paraId="21804A55">
            <w:pPr>
              <w:widowControl/>
              <w:jc w:val="center"/>
              <w:rPr>
                <w:rFonts w:hint="eastAsia" w:ascii="宋体" w:hAnsi="宋体" w:cs="宋体"/>
                <w:kern w:val="0"/>
                <w:sz w:val="21"/>
                <w:szCs w:val="21"/>
              </w:rPr>
            </w:pPr>
            <w:r>
              <w:rPr>
                <w:rFonts w:hint="eastAsia" w:ascii="宋体" w:hAnsi="宋体" w:cs="宋体"/>
                <w:b/>
                <w:bCs/>
                <w:color w:val="000000"/>
                <w:sz w:val="21"/>
                <w:szCs w:val="21"/>
              </w:rPr>
              <w:t>（医生站）</w:t>
            </w:r>
          </w:p>
        </w:tc>
        <w:tc>
          <w:tcPr>
            <w:tcW w:w="7094" w:type="dxa"/>
            <w:gridSpan w:val="2"/>
          </w:tcPr>
          <w:p w14:paraId="51B06E61">
            <w:pPr>
              <w:jc w:val="left"/>
              <w:rPr>
                <w:rFonts w:hint="eastAsia" w:ascii="宋体" w:hAnsi="宋体" w:cs="宋体"/>
                <w:kern w:val="0"/>
                <w:sz w:val="21"/>
                <w:szCs w:val="21"/>
              </w:rPr>
            </w:pPr>
            <w:r>
              <w:rPr>
                <w:rFonts w:hint="eastAsia" w:ascii="宋体" w:hAnsi="宋体" w:cs="宋体"/>
                <w:color w:val="000000"/>
                <w:sz w:val="21"/>
                <w:szCs w:val="21"/>
              </w:rPr>
              <w:t>实时展现当前的待检队列以及已检队列信息。</w:t>
            </w:r>
          </w:p>
        </w:tc>
      </w:tr>
      <w:tr w14:paraId="7247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9D6186E">
            <w:pPr>
              <w:widowControl/>
              <w:jc w:val="center"/>
              <w:rPr>
                <w:rFonts w:hint="eastAsia" w:ascii="宋体" w:hAnsi="宋体" w:cs="宋体"/>
                <w:kern w:val="0"/>
                <w:sz w:val="21"/>
                <w:szCs w:val="21"/>
              </w:rPr>
            </w:pPr>
          </w:p>
        </w:tc>
        <w:tc>
          <w:tcPr>
            <w:tcW w:w="7094" w:type="dxa"/>
            <w:gridSpan w:val="2"/>
          </w:tcPr>
          <w:p w14:paraId="25741B4A">
            <w:pPr>
              <w:jc w:val="left"/>
              <w:rPr>
                <w:rFonts w:hint="eastAsia" w:ascii="宋体" w:hAnsi="宋体" w:cs="宋体"/>
                <w:kern w:val="0"/>
                <w:sz w:val="21"/>
                <w:szCs w:val="21"/>
              </w:rPr>
            </w:pPr>
            <w:r>
              <w:rPr>
                <w:rFonts w:hint="eastAsia" w:ascii="宋体" w:hAnsi="宋体" w:cs="宋体"/>
                <w:color w:val="000000"/>
                <w:sz w:val="21"/>
                <w:szCs w:val="21"/>
              </w:rPr>
              <w:t>实时展示当前就检人员的就检项目，并可随时标注项目的完成状态；</w:t>
            </w:r>
          </w:p>
        </w:tc>
      </w:tr>
      <w:tr w14:paraId="6A2A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29C1005">
            <w:pPr>
              <w:widowControl/>
              <w:jc w:val="center"/>
              <w:rPr>
                <w:rFonts w:hint="eastAsia" w:ascii="宋体" w:hAnsi="宋体" w:cs="宋体"/>
                <w:kern w:val="0"/>
                <w:sz w:val="21"/>
                <w:szCs w:val="21"/>
              </w:rPr>
            </w:pPr>
          </w:p>
        </w:tc>
        <w:tc>
          <w:tcPr>
            <w:tcW w:w="7094" w:type="dxa"/>
            <w:gridSpan w:val="2"/>
          </w:tcPr>
          <w:p w14:paraId="781F7724">
            <w:pPr>
              <w:jc w:val="left"/>
              <w:rPr>
                <w:rFonts w:hint="eastAsia" w:ascii="宋体" w:hAnsi="宋体" w:cs="宋体"/>
                <w:color w:val="000000"/>
                <w:sz w:val="21"/>
                <w:szCs w:val="21"/>
              </w:rPr>
            </w:pPr>
            <w:r>
              <w:rPr>
                <w:rFonts w:hint="eastAsia" w:ascii="宋体" w:hAnsi="宋体" w:cs="宋体"/>
                <w:color w:val="000000"/>
                <w:sz w:val="21"/>
                <w:szCs w:val="21"/>
              </w:rPr>
              <w:t>一</w:t>
            </w:r>
            <w:r>
              <w:rPr>
                <w:rFonts w:ascii="宋体" w:hAnsi="宋体" w:cs="宋体"/>
                <w:color w:val="000000"/>
                <w:sz w:val="21"/>
                <w:szCs w:val="21"/>
              </w:rPr>
              <w:t>键呼叫“下一位”，在完成当前就诊人员检查状态标注的同时，自动呼叫下一位就诊人员，配套“重呼”“延后”“跳过”等辅助功能，操作简洁、按键醒目；</w:t>
            </w:r>
          </w:p>
        </w:tc>
      </w:tr>
      <w:tr w14:paraId="2420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D59FE3F">
            <w:pPr>
              <w:widowControl/>
              <w:jc w:val="center"/>
              <w:rPr>
                <w:rFonts w:hint="eastAsia" w:ascii="宋体" w:hAnsi="宋体" w:cs="宋体"/>
                <w:kern w:val="0"/>
                <w:sz w:val="21"/>
                <w:szCs w:val="21"/>
              </w:rPr>
            </w:pPr>
          </w:p>
        </w:tc>
        <w:tc>
          <w:tcPr>
            <w:tcW w:w="7094" w:type="dxa"/>
            <w:gridSpan w:val="2"/>
          </w:tcPr>
          <w:p w14:paraId="007BB020">
            <w:pPr>
              <w:jc w:val="left"/>
              <w:rPr>
                <w:rFonts w:hint="eastAsia" w:ascii="宋体" w:hAnsi="宋体" w:cs="宋体"/>
                <w:color w:val="000000"/>
                <w:sz w:val="21"/>
                <w:szCs w:val="21"/>
              </w:rPr>
            </w:pPr>
            <w:r>
              <w:rPr>
                <w:rFonts w:hint="eastAsia" w:ascii="宋体" w:hAnsi="宋体" w:cs="宋体"/>
                <w:color w:val="000000"/>
                <w:sz w:val="21"/>
                <w:szCs w:val="21"/>
              </w:rPr>
              <w:t>以显著位置，告知完成体检者的下一站科室。</w:t>
            </w:r>
          </w:p>
        </w:tc>
      </w:tr>
      <w:tr w14:paraId="0242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ABD90D9">
            <w:pPr>
              <w:widowControl/>
              <w:jc w:val="center"/>
              <w:rPr>
                <w:rFonts w:hint="eastAsia" w:ascii="宋体" w:hAnsi="宋体" w:cs="宋体"/>
                <w:kern w:val="0"/>
                <w:sz w:val="21"/>
                <w:szCs w:val="21"/>
              </w:rPr>
            </w:pPr>
          </w:p>
        </w:tc>
        <w:tc>
          <w:tcPr>
            <w:tcW w:w="7094" w:type="dxa"/>
            <w:gridSpan w:val="2"/>
          </w:tcPr>
          <w:p w14:paraId="256A837A">
            <w:pPr>
              <w:jc w:val="left"/>
              <w:rPr>
                <w:rFonts w:hint="eastAsia" w:ascii="宋体" w:hAnsi="宋体" w:cs="宋体"/>
                <w:color w:val="000000"/>
                <w:sz w:val="21"/>
                <w:szCs w:val="21"/>
              </w:rPr>
            </w:pPr>
            <w:r>
              <w:rPr>
                <w:rFonts w:hint="eastAsia" w:ascii="宋体" w:hAnsi="宋体" w:cs="宋体"/>
                <w:color w:val="000000"/>
                <w:sz w:val="21"/>
                <w:szCs w:val="21"/>
              </w:rPr>
              <w:t>支持随时扫码插队，重新调整就检人员的体检序列并重新合理规划，在保证系统化的体检流程同时，不失灵活性。</w:t>
            </w:r>
          </w:p>
        </w:tc>
      </w:tr>
      <w:tr w14:paraId="76FF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24F37F4">
            <w:pPr>
              <w:widowControl/>
              <w:jc w:val="center"/>
              <w:rPr>
                <w:rFonts w:hint="eastAsia" w:ascii="宋体" w:hAnsi="宋体" w:cs="宋体"/>
                <w:kern w:val="0"/>
                <w:sz w:val="21"/>
                <w:szCs w:val="21"/>
              </w:rPr>
            </w:pPr>
          </w:p>
        </w:tc>
        <w:tc>
          <w:tcPr>
            <w:tcW w:w="7094" w:type="dxa"/>
            <w:gridSpan w:val="2"/>
          </w:tcPr>
          <w:p w14:paraId="44226811">
            <w:pPr>
              <w:jc w:val="left"/>
              <w:rPr>
                <w:rFonts w:hint="eastAsia" w:ascii="宋体" w:hAnsi="宋体" w:cs="宋体"/>
                <w:color w:val="000000"/>
                <w:sz w:val="21"/>
                <w:szCs w:val="21"/>
              </w:rPr>
            </w:pPr>
            <w:r>
              <w:rPr>
                <w:rFonts w:ascii="宋体" w:hAnsi="宋体" w:cs="宋体"/>
                <w:color w:val="000000"/>
                <w:sz w:val="21"/>
                <w:szCs w:val="21"/>
              </w:rPr>
              <w:t>可按性别、检查项目自定义医生台职能，支持一次性配置，适配医生不固定的场景；</w:t>
            </w:r>
          </w:p>
        </w:tc>
      </w:tr>
      <w:tr w14:paraId="23A8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775570A">
            <w:pPr>
              <w:widowControl/>
              <w:jc w:val="center"/>
              <w:rPr>
                <w:rFonts w:hint="eastAsia" w:ascii="宋体" w:hAnsi="宋体" w:cs="宋体"/>
                <w:kern w:val="0"/>
                <w:sz w:val="21"/>
                <w:szCs w:val="21"/>
              </w:rPr>
            </w:pPr>
          </w:p>
        </w:tc>
        <w:tc>
          <w:tcPr>
            <w:tcW w:w="7094" w:type="dxa"/>
            <w:gridSpan w:val="2"/>
          </w:tcPr>
          <w:p w14:paraId="2B98E57D">
            <w:pPr>
              <w:jc w:val="left"/>
              <w:rPr>
                <w:rFonts w:hint="eastAsia" w:ascii="宋体" w:hAnsi="宋体" w:cs="宋体"/>
                <w:color w:val="000000"/>
                <w:sz w:val="21"/>
                <w:szCs w:val="21"/>
              </w:rPr>
            </w:pPr>
            <w:r>
              <w:rPr>
                <w:rFonts w:ascii="宋体" w:hAnsi="宋体" w:cs="宋体"/>
                <w:color w:val="000000"/>
                <w:sz w:val="21"/>
                <w:szCs w:val="21"/>
              </w:rPr>
              <w:t>设置“暂停”键，为医生连续工作预留休息时间；</w:t>
            </w:r>
          </w:p>
        </w:tc>
      </w:tr>
      <w:tr w14:paraId="3888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9AE1ABF">
            <w:pPr>
              <w:widowControl/>
              <w:jc w:val="center"/>
              <w:rPr>
                <w:rFonts w:hint="eastAsia" w:ascii="宋体" w:hAnsi="宋体" w:cs="宋体"/>
                <w:kern w:val="0"/>
                <w:sz w:val="21"/>
                <w:szCs w:val="21"/>
              </w:rPr>
            </w:pPr>
          </w:p>
        </w:tc>
        <w:tc>
          <w:tcPr>
            <w:tcW w:w="7094" w:type="dxa"/>
            <w:gridSpan w:val="2"/>
          </w:tcPr>
          <w:p w14:paraId="4744E169">
            <w:pPr>
              <w:jc w:val="left"/>
              <w:rPr>
                <w:rFonts w:hint="eastAsia" w:ascii="宋体" w:hAnsi="宋体" w:cs="宋体"/>
                <w:kern w:val="0"/>
                <w:sz w:val="21"/>
                <w:szCs w:val="21"/>
              </w:rPr>
            </w:pPr>
            <w:r>
              <w:rPr>
                <w:rFonts w:hint="eastAsia" w:ascii="宋体" w:hAnsi="宋体" w:cs="宋体"/>
                <w:color w:val="000000"/>
                <w:sz w:val="21"/>
                <w:szCs w:val="21"/>
              </w:rPr>
              <w:t>支持非连续的，可选择性的呼叫客户；</w:t>
            </w:r>
          </w:p>
        </w:tc>
      </w:tr>
      <w:tr w14:paraId="1A2E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0D8DFBC">
            <w:pPr>
              <w:widowControl/>
              <w:jc w:val="center"/>
              <w:rPr>
                <w:rFonts w:hint="eastAsia" w:ascii="宋体" w:hAnsi="宋体" w:cs="宋体"/>
                <w:kern w:val="0"/>
                <w:sz w:val="21"/>
                <w:szCs w:val="21"/>
              </w:rPr>
            </w:pPr>
          </w:p>
        </w:tc>
        <w:tc>
          <w:tcPr>
            <w:tcW w:w="7094" w:type="dxa"/>
            <w:gridSpan w:val="2"/>
          </w:tcPr>
          <w:p w14:paraId="7B0C192B">
            <w:pPr>
              <w:jc w:val="left"/>
              <w:rPr>
                <w:rFonts w:hint="eastAsia" w:ascii="宋体" w:hAnsi="宋体" w:cs="宋体"/>
                <w:kern w:val="0"/>
                <w:sz w:val="21"/>
                <w:szCs w:val="21"/>
              </w:rPr>
            </w:pPr>
            <w:r>
              <w:rPr>
                <w:rFonts w:hint="eastAsia" w:ascii="宋体" w:hAnsi="宋体" w:cs="宋体"/>
                <w:color w:val="000000"/>
                <w:sz w:val="21"/>
                <w:szCs w:val="21"/>
              </w:rPr>
              <w:t>界面自动隐藏，感应唤醒、不影响主业务的操作、可与各系统同时使用；</w:t>
            </w:r>
          </w:p>
        </w:tc>
      </w:tr>
      <w:tr w14:paraId="7528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40014F6">
            <w:pPr>
              <w:widowControl/>
              <w:jc w:val="center"/>
              <w:rPr>
                <w:rFonts w:hint="eastAsia" w:ascii="宋体" w:hAnsi="宋体" w:cs="宋体"/>
                <w:kern w:val="0"/>
                <w:sz w:val="21"/>
                <w:szCs w:val="21"/>
              </w:rPr>
            </w:pPr>
          </w:p>
        </w:tc>
        <w:tc>
          <w:tcPr>
            <w:tcW w:w="7094" w:type="dxa"/>
            <w:gridSpan w:val="2"/>
          </w:tcPr>
          <w:p w14:paraId="1230CCAE">
            <w:pPr>
              <w:jc w:val="left"/>
              <w:rPr>
                <w:rFonts w:hint="eastAsia" w:ascii="宋体" w:hAnsi="宋体" w:cs="宋体"/>
                <w:kern w:val="0"/>
                <w:sz w:val="21"/>
                <w:szCs w:val="21"/>
              </w:rPr>
            </w:pPr>
            <w:r>
              <w:rPr>
                <w:rFonts w:hint="eastAsia" w:ascii="宋体" w:hAnsi="宋体" w:cs="宋体"/>
                <w:color w:val="000000"/>
                <w:sz w:val="21"/>
                <w:szCs w:val="21"/>
              </w:rPr>
              <w:t>支持定向广播功能；</w:t>
            </w:r>
          </w:p>
        </w:tc>
      </w:tr>
      <w:tr w14:paraId="1459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C7C0C63">
            <w:pPr>
              <w:widowControl/>
              <w:jc w:val="center"/>
              <w:rPr>
                <w:rFonts w:hint="eastAsia" w:ascii="宋体" w:hAnsi="宋体" w:cs="宋体"/>
                <w:kern w:val="0"/>
                <w:sz w:val="21"/>
                <w:szCs w:val="21"/>
              </w:rPr>
            </w:pPr>
          </w:p>
        </w:tc>
        <w:tc>
          <w:tcPr>
            <w:tcW w:w="7094" w:type="dxa"/>
            <w:gridSpan w:val="2"/>
          </w:tcPr>
          <w:p w14:paraId="7DF3FDB7">
            <w:pPr>
              <w:jc w:val="left"/>
              <w:rPr>
                <w:rFonts w:hint="eastAsia" w:ascii="宋体" w:hAnsi="宋体" w:cs="宋体"/>
                <w:kern w:val="0"/>
                <w:sz w:val="21"/>
                <w:szCs w:val="21"/>
              </w:rPr>
            </w:pPr>
            <w:r>
              <w:rPr>
                <w:rFonts w:hint="eastAsia" w:ascii="宋体" w:hAnsi="宋体" w:cs="宋体"/>
                <w:color w:val="000000"/>
                <w:sz w:val="21"/>
                <w:szCs w:val="21"/>
              </w:rPr>
              <w:t>医生能够自主切换科室检查性别限制，根据需求自由切换性别；</w:t>
            </w:r>
          </w:p>
        </w:tc>
      </w:tr>
      <w:tr w14:paraId="5480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0252452">
            <w:pPr>
              <w:widowControl/>
              <w:jc w:val="center"/>
              <w:rPr>
                <w:rFonts w:hint="eastAsia" w:ascii="宋体" w:hAnsi="宋体" w:cs="宋体"/>
                <w:kern w:val="0"/>
                <w:sz w:val="21"/>
                <w:szCs w:val="21"/>
              </w:rPr>
            </w:pPr>
          </w:p>
        </w:tc>
        <w:tc>
          <w:tcPr>
            <w:tcW w:w="7094" w:type="dxa"/>
            <w:gridSpan w:val="2"/>
          </w:tcPr>
          <w:p w14:paraId="6BEF403E">
            <w:pPr>
              <w:jc w:val="left"/>
              <w:rPr>
                <w:rFonts w:hint="eastAsia" w:ascii="宋体" w:hAnsi="宋体" w:cs="宋体"/>
                <w:kern w:val="0"/>
                <w:sz w:val="21"/>
                <w:szCs w:val="21"/>
              </w:rPr>
            </w:pPr>
            <w:r>
              <w:rPr>
                <w:rFonts w:hint="eastAsia" w:ascii="宋体" w:hAnsi="宋体" w:cs="宋体"/>
                <w:color w:val="000000"/>
                <w:sz w:val="21"/>
                <w:szCs w:val="21"/>
              </w:rPr>
              <w:t>当诊室内不小心误点下一位时，可手动将该体检人员从已检列表召回至待检列表并可以进行重新呼叫；</w:t>
            </w:r>
          </w:p>
        </w:tc>
      </w:tr>
      <w:tr w14:paraId="4329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079A8C9">
            <w:pPr>
              <w:widowControl/>
              <w:jc w:val="center"/>
              <w:rPr>
                <w:rFonts w:hint="eastAsia" w:ascii="宋体" w:hAnsi="宋体" w:cs="宋体"/>
                <w:kern w:val="0"/>
                <w:sz w:val="21"/>
                <w:szCs w:val="21"/>
              </w:rPr>
            </w:pPr>
          </w:p>
        </w:tc>
        <w:tc>
          <w:tcPr>
            <w:tcW w:w="7094" w:type="dxa"/>
            <w:gridSpan w:val="2"/>
          </w:tcPr>
          <w:p w14:paraId="364D00EF">
            <w:pPr>
              <w:jc w:val="left"/>
              <w:rPr>
                <w:rFonts w:hint="eastAsia" w:ascii="宋体" w:hAnsi="宋体" w:cs="宋体"/>
                <w:kern w:val="0"/>
                <w:sz w:val="21"/>
                <w:szCs w:val="21"/>
              </w:rPr>
            </w:pPr>
            <w:r>
              <w:rPr>
                <w:rFonts w:hint="eastAsia" w:ascii="宋体" w:hAnsi="宋体" w:cs="宋体"/>
                <w:color w:val="000000"/>
                <w:sz w:val="21"/>
                <w:szCs w:val="21"/>
              </w:rPr>
              <w:t>诊室点击下一位时会提示下一检查科室；</w:t>
            </w:r>
          </w:p>
        </w:tc>
      </w:tr>
      <w:tr w14:paraId="20AB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0570F80">
            <w:pPr>
              <w:widowControl/>
              <w:jc w:val="center"/>
              <w:rPr>
                <w:rFonts w:hint="eastAsia" w:ascii="宋体" w:hAnsi="宋体" w:cs="宋体"/>
                <w:kern w:val="0"/>
                <w:sz w:val="21"/>
                <w:szCs w:val="21"/>
              </w:rPr>
            </w:pPr>
          </w:p>
        </w:tc>
        <w:tc>
          <w:tcPr>
            <w:tcW w:w="7094" w:type="dxa"/>
            <w:gridSpan w:val="2"/>
          </w:tcPr>
          <w:p w14:paraId="16FA701A">
            <w:pPr>
              <w:jc w:val="left"/>
              <w:rPr>
                <w:rFonts w:hint="eastAsia" w:ascii="宋体" w:hAnsi="宋体" w:cs="宋体"/>
                <w:kern w:val="0"/>
                <w:sz w:val="21"/>
                <w:szCs w:val="21"/>
              </w:rPr>
            </w:pPr>
            <w:r>
              <w:rPr>
                <w:rFonts w:hint="eastAsia" w:ascii="宋体" w:hAnsi="宋体" w:cs="宋体"/>
                <w:color w:val="000000"/>
                <w:sz w:val="21"/>
                <w:szCs w:val="21"/>
              </w:rPr>
              <w:t>“暂停”功能改变：暂停后系统不再往本科室分配新客户，但是医生端其他功能还要能继续使用。</w:t>
            </w:r>
          </w:p>
        </w:tc>
      </w:tr>
      <w:tr w14:paraId="47E9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54E8FD7">
            <w:pPr>
              <w:widowControl/>
              <w:jc w:val="center"/>
              <w:rPr>
                <w:rFonts w:hint="eastAsia" w:ascii="宋体" w:hAnsi="宋体" w:cs="宋体"/>
                <w:kern w:val="0"/>
                <w:sz w:val="21"/>
                <w:szCs w:val="21"/>
              </w:rPr>
            </w:pPr>
          </w:p>
        </w:tc>
        <w:tc>
          <w:tcPr>
            <w:tcW w:w="7094" w:type="dxa"/>
            <w:gridSpan w:val="2"/>
          </w:tcPr>
          <w:p w14:paraId="71F10F6F">
            <w:pPr>
              <w:jc w:val="left"/>
              <w:rPr>
                <w:rFonts w:hint="eastAsia" w:ascii="宋体" w:hAnsi="宋体" w:cs="宋体"/>
                <w:color w:val="000000"/>
                <w:sz w:val="21"/>
                <w:szCs w:val="21"/>
              </w:rPr>
            </w:pPr>
            <w:r>
              <w:rPr>
                <w:rFonts w:hint="eastAsia" w:ascii="宋体" w:hAnsi="宋体" w:cs="宋体"/>
                <w:color w:val="000000"/>
                <w:sz w:val="21"/>
                <w:szCs w:val="21"/>
              </w:rPr>
              <w:t>“暂停”功能开启后，可设置非最后一项检查的客户禁止进入本科室，或未排入本科室的客户禁止排入；</w:t>
            </w:r>
          </w:p>
        </w:tc>
      </w:tr>
      <w:tr w14:paraId="0694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9359395">
            <w:pPr>
              <w:widowControl/>
              <w:jc w:val="center"/>
              <w:rPr>
                <w:rFonts w:hint="eastAsia" w:ascii="宋体" w:hAnsi="宋体" w:cs="宋体"/>
                <w:kern w:val="0"/>
                <w:sz w:val="21"/>
                <w:szCs w:val="21"/>
              </w:rPr>
            </w:pPr>
          </w:p>
        </w:tc>
        <w:tc>
          <w:tcPr>
            <w:tcW w:w="7094" w:type="dxa"/>
            <w:gridSpan w:val="2"/>
          </w:tcPr>
          <w:p w14:paraId="476B9DE2">
            <w:pPr>
              <w:jc w:val="left"/>
              <w:rPr>
                <w:rFonts w:hint="eastAsia" w:ascii="宋体" w:hAnsi="宋体" w:cs="宋体"/>
                <w:kern w:val="0"/>
                <w:sz w:val="21"/>
                <w:szCs w:val="21"/>
              </w:rPr>
            </w:pPr>
            <w:r>
              <w:rPr>
                <w:rFonts w:hint="eastAsia" w:ascii="宋体" w:hAnsi="宋体" w:cs="宋体"/>
                <w:color w:val="000000"/>
                <w:sz w:val="21"/>
                <w:szCs w:val="21"/>
              </w:rPr>
              <w:t>增加体检人员下一个诊室去哪里的语音播报功能，医生点下一位时，系统自动语音播报已经完成人员下一个诊室。</w:t>
            </w:r>
          </w:p>
        </w:tc>
      </w:tr>
      <w:tr w14:paraId="27DC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60AD496">
            <w:pPr>
              <w:widowControl/>
              <w:jc w:val="center"/>
              <w:rPr>
                <w:rFonts w:hint="eastAsia" w:ascii="宋体" w:hAnsi="宋体" w:cs="宋体"/>
                <w:kern w:val="0"/>
                <w:sz w:val="21"/>
                <w:szCs w:val="21"/>
              </w:rPr>
            </w:pPr>
          </w:p>
        </w:tc>
        <w:tc>
          <w:tcPr>
            <w:tcW w:w="7094" w:type="dxa"/>
            <w:gridSpan w:val="2"/>
          </w:tcPr>
          <w:p w14:paraId="388A2C93">
            <w:pPr>
              <w:widowControl/>
              <w:jc w:val="left"/>
              <w:rPr>
                <w:rFonts w:hint="eastAsia" w:ascii="宋体" w:hAnsi="宋体" w:cs="宋体"/>
                <w:kern w:val="0"/>
                <w:sz w:val="21"/>
                <w:szCs w:val="21"/>
              </w:rPr>
            </w:pPr>
            <w:r>
              <w:rPr>
                <w:rFonts w:hint="eastAsia" w:ascii="宋体" w:hAnsi="宋体" w:cs="宋体"/>
                <w:color w:val="000000"/>
                <w:sz w:val="21"/>
                <w:szCs w:val="21"/>
              </w:rPr>
              <w:t xml:space="preserve">增加“全网重呼”功能：医生叫号时如果客户没能及时到诊室检查，医生可以使用此功能呼叫客户。医生点击此按钮后，系统自动在所有诊间屏、区域大屏上播放叫号信息，例如“xxx请到xx科检查”，实现呼叫无死角覆盖。 </w:t>
            </w:r>
          </w:p>
        </w:tc>
      </w:tr>
      <w:tr w14:paraId="0105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D741877">
            <w:pPr>
              <w:widowControl/>
              <w:jc w:val="center"/>
              <w:rPr>
                <w:rFonts w:hint="eastAsia" w:ascii="宋体" w:hAnsi="宋体" w:cs="宋体"/>
                <w:kern w:val="0"/>
                <w:sz w:val="21"/>
                <w:szCs w:val="21"/>
              </w:rPr>
            </w:pPr>
          </w:p>
        </w:tc>
        <w:tc>
          <w:tcPr>
            <w:tcW w:w="7094" w:type="dxa"/>
            <w:gridSpan w:val="2"/>
          </w:tcPr>
          <w:p w14:paraId="49DB66D8">
            <w:pPr>
              <w:jc w:val="left"/>
              <w:rPr>
                <w:rFonts w:hint="eastAsia" w:ascii="宋体" w:hAnsi="宋体" w:cs="宋体"/>
                <w:kern w:val="0"/>
                <w:sz w:val="21"/>
                <w:szCs w:val="21"/>
              </w:rPr>
            </w:pPr>
            <w:r>
              <w:rPr>
                <w:rFonts w:hint="eastAsia" w:ascii="宋体" w:hAnsi="宋体" w:cs="宋体"/>
                <w:color w:val="000000"/>
                <w:sz w:val="21"/>
                <w:szCs w:val="21"/>
              </w:rPr>
              <w:t>支持过号功能，多次呼叫未能到达科室检查的体检客户自动转移到过号队列，同时呼叫下一位进行检查；</w:t>
            </w:r>
          </w:p>
        </w:tc>
      </w:tr>
      <w:tr w14:paraId="3A49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3CB8656">
            <w:pPr>
              <w:widowControl/>
              <w:jc w:val="center"/>
              <w:rPr>
                <w:rFonts w:hint="eastAsia" w:ascii="宋体" w:hAnsi="宋体" w:cs="宋体"/>
                <w:kern w:val="0"/>
                <w:sz w:val="21"/>
                <w:szCs w:val="21"/>
              </w:rPr>
            </w:pPr>
          </w:p>
        </w:tc>
        <w:tc>
          <w:tcPr>
            <w:tcW w:w="7094" w:type="dxa"/>
            <w:gridSpan w:val="2"/>
          </w:tcPr>
          <w:p w14:paraId="71ED5E58">
            <w:pPr>
              <w:jc w:val="left"/>
              <w:rPr>
                <w:rFonts w:hint="eastAsia" w:ascii="宋体" w:hAnsi="宋体" w:cs="宋体"/>
                <w:kern w:val="0"/>
                <w:sz w:val="21"/>
                <w:szCs w:val="21"/>
              </w:rPr>
            </w:pPr>
            <w:r>
              <w:rPr>
                <w:rFonts w:hint="eastAsia" w:ascii="宋体" w:hAnsi="宋体" w:cs="宋体"/>
                <w:color w:val="000000"/>
                <w:sz w:val="21"/>
                <w:szCs w:val="21"/>
              </w:rPr>
              <w:t>支持碳13或碳14项目检查二次导检，即过半小时后再次排入对应科室。</w:t>
            </w:r>
          </w:p>
        </w:tc>
      </w:tr>
      <w:tr w14:paraId="0E71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5EC9C3D">
            <w:pPr>
              <w:widowControl/>
              <w:jc w:val="center"/>
              <w:rPr>
                <w:rFonts w:hint="eastAsia" w:ascii="宋体" w:hAnsi="宋体" w:cs="宋体"/>
                <w:kern w:val="0"/>
                <w:sz w:val="21"/>
                <w:szCs w:val="21"/>
              </w:rPr>
            </w:pPr>
          </w:p>
        </w:tc>
        <w:tc>
          <w:tcPr>
            <w:tcW w:w="7094" w:type="dxa"/>
            <w:gridSpan w:val="2"/>
          </w:tcPr>
          <w:p w14:paraId="0132A1B0">
            <w:pPr>
              <w:jc w:val="left"/>
              <w:rPr>
                <w:rFonts w:hint="eastAsia" w:ascii="宋体" w:hAnsi="宋体" w:cs="宋体"/>
                <w:kern w:val="0"/>
                <w:sz w:val="21"/>
                <w:szCs w:val="21"/>
              </w:rPr>
            </w:pPr>
            <w:r>
              <w:rPr>
                <w:rFonts w:hint="eastAsia" w:ascii="宋体" w:hAnsi="宋体" w:cs="宋体"/>
                <w:color w:val="000000"/>
                <w:sz w:val="21"/>
                <w:szCs w:val="21"/>
              </w:rPr>
              <w:t>支持碳13或碳14项目检查过半小时后医生端提示客户进行二次呼气，随后指引至下一科室功能；</w:t>
            </w:r>
          </w:p>
        </w:tc>
      </w:tr>
      <w:tr w14:paraId="5F12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3961D03">
            <w:pPr>
              <w:widowControl/>
              <w:jc w:val="center"/>
              <w:rPr>
                <w:rFonts w:hint="eastAsia" w:ascii="宋体" w:hAnsi="宋体" w:cs="宋体"/>
                <w:kern w:val="0"/>
                <w:sz w:val="21"/>
                <w:szCs w:val="21"/>
              </w:rPr>
            </w:pPr>
          </w:p>
        </w:tc>
        <w:tc>
          <w:tcPr>
            <w:tcW w:w="7094" w:type="dxa"/>
            <w:gridSpan w:val="2"/>
          </w:tcPr>
          <w:p w14:paraId="20E3D299">
            <w:pPr>
              <w:widowControl/>
              <w:jc w:val="left"/>
              <w:rPr>
                <w:rFonts w:hint="eastAsia" w:ascii="宋体" w:hAnsi="宋体" w:cs="宋体"/>
                <w:kern w:val="0"/>
                <w:sz w:val="21"/>
                <w:szCs w:val="21"/>
              </w:rPr>
            </w:pPr>
            <w:r>
              <w:rPr>
                <w:rFonts w:hint="eastAsia" w:ascii="宋体" w:hAnsi="宋体" w:cs="宋体"/>
                <w:color w:val="000000"/>
                <w:sz w:val="21"/>
                <w:szCs w:val="21"/>
              </w:rPr>
              <w:t>支持碳13或碳14项目倒计时提醒功能；</w:t>
            </w:r>
          </w:p>
        </w:tc>
      </w:tr>
      <w:tr w14:paraId="0334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4FCD29B">
            <w:pPr>
              <w:widowControl/>
              <w:jc w:val="center"/>
              <w:rPr>
                <w:rFonts w:hint="eastAsia" w:ascii="宋体" w:hAnsi="宋体" w:cs="宋体"/>
                <w:kern w:val="0"/>
                <w:sz w:val="21"/>
                <w:szCs w:val="21"/>
              </w:rPr>
            </w:pPr>
          </w:p>
        </w:tc>
        <w:tc>
          <w:tcPr>
            <w:tcW w:w="7094" w:type="dxa"/>
            <w:gridSpan w:val="2"/>
          </w:tcPr>
          <w:p w14:paraId="22286844">
            <w:pPr>
              <w:widowControl/>
              <w:jc w:val="left"/>
              <w:rPr>
                <w:rFonts w:hint="eastAsia" w:ascii="宋体" w:hAnsi="宋体" w:cs="宋体"/>
                <w:kern w:val="0"/>
                <w:sz w:val="21"/>
                <w:szCs w:val="21"/>
              </w:rPr>
            </w:pPr>
            <w:r>
              <w:rPr>
                <w:rFonts w:hint="eastAsia" w:ascii="宋体" w:hAnsi="宋体" w:cs="宋体"/>
                <w:color w:val="000000"/>
                <w:kern w:val="0"/>
                <w:sz w:val="21"/>
                <w:szCs w:val="21"/>
              </w:rPr>
              <w:t>支持利用手机短信发送首站或下一站检查科室信息【需对接短信平台】；</w:t>
            </w:r>
          </w:p>
        </w:tc>
      </w:tr>
      <w:tr w14:paraId="2E54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88A1DB2">
            <w:pPr>
              <w:widowControl/>
              <w:jc w:val="center"/>
              <w:rPr>
                <w:rFonts w:hint="eastAsia" w:ascii="宋体" w:hAnsi="宋体" w:cs="宋体"/>
                <w:kern w:val="0"/>
                <w:sz w:val="21"/>
                <w:szCs w:val="21"/>
              </w:rPr>
            </w:pPr>
          </w:p>
        </w:tc>
        <w:tc>
          <w:tcPr>
            <w:tcW w:w="7094" w:type="dxa"/>
            <w:gridSpan w:val="2"/>
          </w:tcPr>
          <w:p w14:paraId="05A1E181">
            <w:pPr>
              <w:jc w:val="left"/>
              <w:rPr>
                <w:rFonts w:hint="eastAsia" w:ascii="宋体" w:hAnsi="宋体" w:cs="宋体"/>
                <w:kern w:val="0"/>
                <w:sz w:val="21"/>
                <w:szCs w:val="21"/>
              </w:rPr>
            </w:pPr>
            <w:r>
              <w:rPr>
                <w:rFonts w:hint="eastAsia" w:ascii="宋体" w:hAnsi="宋体" w:cs="宋体"/>
                <w:color w:val="000000"/>
                <w:kern w:val="0"/>
                <w:sz w:val="21"/>
                <w:szCs w:val="21"/>
              </w:rPr>
              <w:t>憋尿人员返回时间设置，到达设定时间自动排入对应科室；</w:t>
            </w:r>
          </w:p>
        </w:tc>
      </w:tr>
      <w:tr w14:paraId="453F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4547598">
            <w:pPr>
              <w:widowControl/>
              <w:jc w:val="center"/>
              <w:rPr>
                <w:rFonts w:hint="eastAsia" w:ascii="宋体" w:hAnsi="宋体" w:cs="宋体"/>
                <w:kern w:val="0"/>
                <w:sz w:val="21"/>
                <w:szCs w:val="21"/>
              </w:rPr>
            </w:pPr>
          </w:p>
        </w:tc>
        <w:tc>
          <w:tcPr>
            <w:tcW w:w="7094" w:type="dxa"/>
            <w:gridSpan w:val="2"/>
          </w:tcPr>
          <w:p w14:paraId="372FF10E">
            <w:pPr>
              <w:jc w:val="left"/>
              <w:rPr>
                <w:rFonts w:hint="eastAsia" w:ascii="宋体" w:hAnsi="宋体" w:cs="宋体"/>
                <w:color w:val="000000"/>
                <w:sz w:val="21"/>
                <w:szCs w:val="21"/>
              </w:rPr>
            </w:pPr>
            <w:r>
              <w:rPr>
                <w:rFonts w:ascii="宋体" w:hAnsi="宋体" w:cs="宋体"/>
                <w:color w:val="000000"/>
                <w:sz w:val="21"/>
                <w:szCs w:val="21"/>
              </w:rPr>
              <w:t>实时显示当日检查进度，包括总人数、单项目已检/总人数等数据</w:t>
            </w:r>
          </w:p>
        </w:tc>
      </w:tr>
      <w:tr w14:paraId="4ECD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012D929">
            <w:pPr>
              <w:widowControl/>
              <w:jc w:val="center"/>
              <w:rPr>
                <w:rFonts w:hint="eastAsia" w:ascii="宋体" w:hAnsi="宋体" w:cs="宋体"/>
                <w:kern w:val="0"/>
                <w:sz w:val="21"/>
                <w:szCs w:val="21"/>
              </w:rPr>
            </w:pPr>
          </w:p>
        </w:tc>
        <w:tc>
          <w:tcPr>
            <w:tcW w:w="7094" w:type="dxa"/>
            <w:gridSpan w:val="2"/>
          </w:tcPr>
          <w:p w14:paraId="5E21B948">
            <w:pPr>
              <w:widowControl/>
              <w:jc w:val="left"/>
              <w:rPr>
                <w:rFonts w:hint="eastAsia" w:ascii="宋体" w:hAnsi="宋体" w:cs="宋体"/>
                <w:kern w:val="0"/>
                <w:sz w:val="21"/>
                <w:szCs w:val="21"/>
              </w:rPr>
            </w:pPr>
            <w:r>
              <w:rPr>
                <w:rFonts w:hint="eastAsia" w:ascii="宋体" w:hAnsi="宋体" w:cs="宋体"/>
                <w:color w:val="000000"/>
                <w:kern w:val="0"/>
                <w:sz w:val="21"/>
                <w:szCs w:val="21"/>
              </w:rPr>
              <w:t>支持呼叫多个体检者进入科室检查；</w:t>
            </w:r>
          </w:p>
        </w:tc>
      </w:tr>
      <w:tr w14:paraId="67D9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DE19414">
            <w:pPr>
              <w:widowControl/>
              <w:jc w:val="center"/>
              <w:rPr>
                <w:rFonts w:hint="eastAsia" w:ascii="宋体" w:hAnsi="宋体" w:cs="宋体"/>
                <w:kern w:val="0"/>
                <w:sz w:val="21"/>
                <w:szCs w:val="21"/>
              </w:rPr>
            </w:pPr>
          </w:p>
        </w:tc>
        <w:tc>
          <w:tcPr>
            <w:tcW w:w="7094" w:type="dxa"/>
            <w:gridSpan w:val="2"/>
          </w:tcPr>
          <w:p w14:paraId="61FAA6B2">
            <w:pPr>
              <w:widowControl/>
              <w:jc w:val="left"/>
              <w:rPr>
                <w:rFonts w:hint="eastAsia" w:ascii="宋体" w:hAnsi="宋体" w:cs="宋体"/>
                <w:kern w:val="0"/>
                <w:sz w:val="21"/>
                <w:szCs w:val="21"/>
              </w:rPr>
            </w:pPr>
            <w:r>
              <w:rPr>
                <w:rFonts w:hint="eastAsia" w:ascii="宋体" w:hAnsi="宋体" w:cs="宋体"/>
                <w:color w:val="000000"/>
                <w:kern w:val="0"/>
                <w:sz w:val="21"/>
                <w:szCs w:val="21"/>
              </w:rPr>
              <w:t>支持切换普通模式和迷你模式显示及切换；</w:t>
            </w:r>
          </w:p>
        </w:tc>
      </w:tr>
      <w:tr w14:paraId="7C70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AF0C814">
            <w:pPr>
              <w:widowControl/>
              <w:jc w:val="center"/>
              <w:rPr>
                <w:rFonts w:hint="eastAsia" w:ascii="宋体" w:hAnsi="宋体" w:cs="宋体"/>
                <w:kern w:val="0"/>
                <w:sz w:val="21"/>
                <w:szCs w:val="21"/>
              </w:rPr>
            </w:pPr>
          </w:p>
        </w:tc>
        <w:tc>
          <w:tcPr>
            <w:tcW w:w="7094" w:type="dxa"/>
            <w:gridSpan w:val="2"/>
          </w:tcPr>
          <w:p w14:paraId="72387F14">
            <w:pPr>
              <w:widowControl/>
              <w:jc w:val="left"/>
              <w:rPr>
                <w:rFonts w:hint="eastAsia" w:ascii="宋体" w:hAnsi="宋体" w:cs="宋体"/>
                <w:kern w:val="0"/>
                <w:sz w:val="21"/>
                <w:szCs w:val="21"/>
              </w:rPr>
            </w:pPr>
            <w:r>
              <w:rPr>
                <w:rFonts w:hint="eastAsia" w:ascii="宋体" w:hAnsi="宋体" w:cs="宋体"/>
                <w:color w:val="000000"/>
                <w:kern w:val="0"/>
                <w:sz w:val="21"/>
                <w:szCs w:val="21"/>
              </w:rPr>
              <w:t>支持家庭伴随体检：支持客户选择伴随人员，可以同时前往同一检查科室；</w:t>
            </w:r>
          </w:p>
        </w:tc>
      </w:tr>
      <w:tr w14:paraId="3F3B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4016303">
            <w:pPr>
              <w:widowControl/>
              <w:jc w:val="center"/>
              <w:rPr>
                <w:rFonts w:hint="eastAsia" w:ascii="宋体" w:hAnsi="宋体" w:cs="宋体"/>
                <w:kern w:val="0"/>
                <w:sz w:val="21"/>
                <w:szCs w:val="21"/>
              </w:rPr>
            </w:pPr>
          </w:p>
        </w:tc>
        <w:tc>
          <w:tcPr>
            <w:tcW w:w="7094" w:type="dxa"/>
            <w:gridSpan w:val="2"/>
          </w:tcPr>
          <w:p w14:paraId="54403B9C">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呼叫列表支持个性化显示客户类型标识图标：如男女、VIP、军属、老人、孕妇等客户群体，图标样式可自定义；</w:t>
            </w:r>
          </w:p>
        </w:tc>
      </w:tr>
      <w:tr w14:paraId="2038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923241F">
            <w:pPr>
              <w:widowControl/>
              <w:jc w:val="center"/>
              <w:rPr>
                <w:rFonts w:hint="eastAsia" w:ascii="宋体" w:hAnsi="宋体" w:cs="宋体"/>
                <w:kern w:val="0"/>
                <w:sz w:val="21"/>
                <w:szCs w:val="21"/>
              </w:rPr>
            </w:pPr>
          </w:p>
        </w:tc>
        <w:tc>
          <w:tcPr>
            <w:tcW w:w="7094" w:type="dxa"/>
            <w:gridSpan w:val="2"/>
          </w:tcPr>
          <w:p w14:paraId="442D7D99">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呼叫列表状态图标显示：如锁定、就餐等；</w:t>
            </w:r>
          </w:p>
        </w:tc>
      </w:tr>
      <w:tr w14:paraId="4130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CF752A2">
            <w:pPr>
              <w:widowControl/>
              <w:jc w:val="center"/>
              <w:rPr>
                <w:rFonts w:hint="eastAsia" w:ascii="宋体" w:hAnsi="宋体" w:cs="宋体"/>
                <w:kern w:val="0"/>
                <w:sz w:val="21"/>
                <w:szCs w:val="21"/>
              </w:rPr>
            </w:pPr>
          </w:p>
        </w:tc>
        <w:tc>
          <w:tcPr>
            <w:tcW w:w="7094" w:type="dxa"/>
            <w:gridSpan w:val="2"/>
          </w:tcPr>
          <w:p w14:paraId="1729FF39">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实时查看在检、已检、未检人数；</w:t>
            </w:r>
          </w:p>
        </w:tc>
      </w:tr>
      <w:tr w14:paraId="0151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3CFBC03">
            <w:pPr>
              <w:widowControl/>
              <w:jc w:val="center"/>
              <w:rPr>
                <w:rFonts w:hint="eastAsia" w:ascii="宋体" w:hAnsi="宋体" w:cs="宋体"/>
                <w:kern w:val="0"/>
                <w:sz w:val="21"/>
                <w:szCs w:val="21"/>
              </w:rPr>
            </w:pPr>
          </w:p>
        </w:tc>
        <w:tc>
          <w:tcPr>
            <w:tcW w:w="7094" w:type="dxa"/>
            <w:gridSpan w:val="2"/>
          </w:tcPr>
          <w:p w14:paraId="536C6AFF">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分栏显示待检列表、已检列表、过号列表；</w:t>
            </w:r>
          </w:p>
        </w:tc>
      </w:tr>
      <w:tr w14:paraId="69BA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3A5EC61">
            <w:pPr>
              <w:widowControl/>
              <w:jc w:val="center"/>
              <w:rPr>
                <w:rFonts w:hint="eastAsia" w:ascii="宋体" w:hAnsi="宋体" w:cs="宋体"/>
                <w:kern w:val="0"/>
                <w:sz w:val="21"/>
                <w:szCs w:val="21"/>
              </w:rPr>
            </w:pPr>
          </w:p>
        </w:tc>
        <w:tc>
          <w:tcPr>
            <w:tcW w:w="7094" w:type="dxa"/>
            <w:gridSpan w:val="2"/>
          </w:tcPr>
          <w:p w14:paraId="3F6A3D33">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支持扫码完成检查项目，可自定义扫码完成的科室或项目，扫码后自动完成该项目，并自动分配提示下一检查科室；</w:t>
            </w:r>
          </w:p>
        </w:tc>
      </w:tr>
      <w:tr w14:paraId="0FDD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321414F">
            <w:pPr>
              <w:widowControl/>
              <w:jc w:val="center"/>
              <w:rPr>
                <w:rFonts w:hint="eastAsia" w:ascii="宋体" w:hAnsi="宋体" w:cs="宋体"/>
                <w:kern w:val="0"/>
                <w:sz w:val="21"/>
                <w:szCs w:val="21"/>
              </w:rPr>
            </w:pPr>
          </w:p>
        </w:tc>
        <w:tc>
          <w:tcPr>
            <w:tcW w:w="7094" w:type="dxa"/>
            <w:gridSpan w:val="2"/>
          </w:tcPr>
          <w:p w14:paraId="5DD357D7">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支持自动更新，当检测有新版本时自动升级，保持版本一致性；</w:t>
            </w:r>
          </w:p>
        </w:tc>
      </w:tr>
      <w:tr w14:paraId="097E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50355C4B">
            <w:pPr>
              <w:widowControl/>
              <w:jc w:val="center"/>
              <w:rPr>
                <w:rFonts w:hint="eastAsia" w:ascii="宋体" w:hAnsi="宋体" w:eastAsia="宋体" w:cs="宋体"/>
                <w:b/>
                <w:bCs/>
                <w:kern w:val="0"/>
                <w:sz w:val="21"/>
                <w:szCs w:val="21"/>
                <w:lang w:val="en-US" w:eastAsia="zh-CN"/>
              </w:rPr>
            </w:pPr>
            <w:r>
              <w:rPr>
                <w:rFonts w:hint="eastAsia" w:ascii="宋体" w:hAnsi="宋体" w:cs="宋体"/>
                <w:b/>
                <w:bCs/>
                <w:color w:val="000000"/>
                <w:sz w:val="21"/>
                <w:szCs w:val="21"/>
              </w:rPr>
              <w:t>诊间屏</w:t>
            </w:r>
            <w:r>
              <w:rPr>
                <w:rFonts w:hint="eastAsia" w:ascii="宋体" w:hAnsi="宋体" w:cs="宋体"/>
                <w:b/>
                <w:bCs/>
                <w:color w:val="000000"/>
                <w:sz w:val="21"/>
                <w:szCs w:val="21"/>
                <w:lang w:val="en-US" w:eastAsia="zh-CN"/>
              </w:rPr>
              <w:t>功能</w:t>
            </w:r>
          </w:p>
        </w:tc>
        <w:tc>
          <w:tcPr>
            <w:tcW w:w="7094" w:type="dxa"/>
            <w:gridSpan w:val="2"/>
          </w:tcPr>
          <w:p w14:paraId="2A228615">
            <w:pPr>
              <w:jc w:val="left"/>
              <w:rPr>
                <w:rFonts w:hint="eastAsia" w:ascii="宋体" w:hAnsi="宋体" w:cs="宋体"/>
                <w:color w:val="000000"/>
                <w:sz w:val="21"/>
                <w:szCs w:val="21"/>
              </w:rPr>
            </w:pPr>
            <w:r>
              <w:rPr>
                <w:rFonts w:ascii="宋体" w:hAnsi="宋体" w:cs="宋体"/>
                <w:color w:val="000000"/>
                <w:sz w:val="21"/>
                <w:szCs w:val="21"/>
              </w:rPr>
              <w:t>支持自定义设置LOGO、科室名称、字体、颜色、背景及显示行数</w:t>
            </w:r>
            <w:r>
              <w:rPr>
                <w:rFonts w:hint="eastAsia" w:ascii="宋体" w:hAnsi="宋体" w:cs="宋体"/>
                <w:color w:val="000000"/>
                <w:sz w:val="21"/>
                <w:szCs w:val="21"/>
              </w:rPr>
              <w:t>；</w:t>
            </w:r>
          </w:p>
        </w:tc>
      </w:tr>
      <w:tr w14:paraId="7020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C1F42C6">
            <w:pPr>
              <w:widowControl/>
              <w:jc w:val="center"/>
              <w:rPr>
                <w:rFonts w:hint="eastAsia" w:ascii="宋体" w:hAnsi="宋体" w:cs="宋体"/>
                <w:kern w:val="0"/>
                <w:sz w:val="21"/>
                <w:szCs w:val="21"/>
              </w:rPr>
            </w:pPr>
          </w:p>
        </w:tc>
        <w:tc>
          <w:tcPr>
            <w:tcW w:w="7094" w:type="dxa"/>
            <w:gridSpan w:val="2"/>
          </w:tcPr>
          <w:p w14:paraId="36518324">
            <w:pPr>
              <w:jc w:val="left"/>
              <w:rPr>
                <w:rFonts w:hint="eastAsia" w:ascii="宋体" w:hAnsi="宋体" w:cs="宋体"/>
                <w:color w:val="000000"/>
                <w:sz w:val="21"/>
                <w:szCs w:val="21"/>
              </w:rPr>
            </w:pPr>
            <w:r>
              <w:rPr>
                <w:rFonts w:ascii="宋体" w:hAnsi="宋体" w:cs="宋体"/>
                <w:color w:val="000000"/>
                <w:sz w:val="21"/>
                <w:szCs w:val="21"/>
              </w:rPr>
              <w:t>支持一屏分割显示多个科室队列；</w:t>
            </w:r>
          </w:p>
        </w:tc>
      </w:tr>
      <w:tr w14:paraId="40B1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681ECA1">
            <w:pPr>
              <w:widowControl/>
              <w:jc w:val="center"/>
              <w:rPr>
                <w:rFonts w:hint="eastAsia" w:ascii="宋体" w:hAnsi="宋体" w:cs="宋体"/>
                <w:kern w:val="0"/>
                <w:sz w:val="21"/>
                <w:szCs w:val="21"/>
              </w:rPr>
            </w:pPr>
          </w:p>
        </w:tc>
        <w:tc>
          <w:tcPr>
            <w:tcW w:w="7094" w:type="dxa"/>
            <w:gridSpan w:val="2"/>
          </w:tcPr>
          <w:p w14:paraId="315FBBB9">
            <w:pPr>
              <w:jc w:val="left"/>
              <w:rPr>
                <w:rFonts w:hint="eastAsia" w:ascii="宋体" w:hAnsi="宋体" w:cs="宋体"/>
                <w:color w:val="000000"/>
                <w:sz w:val="21"/>
                <w:szCs w:val="21"/>
              </w:rPr>
            </w:pPr>
            <w:r>
              <w:rPr>
                <w:rFonts w:hint="eastAsia" w:ascii="宋体" w:hAnsi="宋体" w:cs="宋体"/>
                <w:color w:val="000000"/>
                <w:sz w:val="21"/>
                <w:szCs w:val="21"/>
              </w:rPr>
              <w:t>可显示队列顺序、人员姓名；</w:t>
            </w:r>
          </w:p>
        </w:tc>
      </w:tr>
      <w:tr w14:paraId="2390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41080F4">
            <w:pPr>
              <w:widowControl/>
              <w:jc w:val="center"/>
              <w:rPr>
                <w:rFonts w:hint="eastAsia" w:ascii="宋体" w:hAnsi="宋体" w:cs="宋体"/>
                <w:kern w:val="0"/>
                <w:sz w:val="21"/>
                <w:szCs w:val="21"/>
              </w:rPr>
            </w:pPr>
          </w:p>
        </w:tc>
        <w:tc>
          <w:tcPr>
            <w:tcW w:w="7094" w:type="dxa"/>
            <w:gridSpan w:val="2"/>
          </w:tcPr>
          <w:p w14:paraId="382FF9D7">
            <w:pPr>
              <w:rPr>
                <w:rFonts w:hint="eastAsia" w:ascii="宋体" w:hAnsi="宋体" w:cs="宋体"/>
                <w:kern w:val="0"/>
                <w:sz w:val="21"/>
                <w:szCs w:val="21"/>
              </w:rPr>
            </w:pPr>
            <w:r>
              <w:rPr>
                <w:rFonts w:hint="eastAsia" w:ascii="宋体" w:hAnsi="宋体" w:cs="宋体"/>
                <w:color w:val="000000"/>
                <w:sz w:val="21"/>
                <w:szCs w:val="21"/>
              </w:rPr>
              <w:t>支持视频、图片播放及轮播展示；</w:t>
            </w:r>
          </w:p>
        </w:tc>
      </w:tr>
      <w:tr w14:paraId="2A76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AB84208">
            <w:pPr>
              <w:widowControl/>
              <w:jc w:val="center"/>
              <w:rPr>
                <w:rFonts w:hint="eastAsia" w:ascii="宋体" w:hAnsi="宋体" w:cs="宋体"/>
                <w:kern w:val="0"/>
                <w:sz w:val="21"/>
                <w:szCs w:val="21"/>
              </w:rPr>
            </w:pPr>
          </w:p>
        </w:tc>
        <w:tc>
          <w:tcPr>
            <w:tcW w:w="7094" w:type="dxa"/>
            <w:gridSpan w:val="2"/>
          </w:tcPr>
          <w:p w14:paraId="09CA2193">
            <w:pPr>
              <w:rPr>
                <w:rFonts w:hint="eastAsia" w:ascii="宋体" w:hAnsi="宋体" w:cs="宋体"/>
                <w:kern w:val="0"/>
                <w:sz w:val="21"/>
                <w:szCs w:val="21"/>
              </w:rPr>
            </w:pPr>
            <w:r>
              <w:rPr>
                <w:rFonts w:hint="eastAsia" w:ascii="宋体" w:hAnsi="宋体" w:cs="宋体"/>
                <w:color w:val="000000"/>
                <w:sz w:val="21"/>
                <w:szCs w:val="21"/>
              </w:rPr>
              <w:t>支持windows、安卓屏，各屏幕语音独立播报、避免显示与发音的不同步问题，支持男女声切换。</w:t>
            </w:r>
          </w:p>
        </w:tc>
      </w:tr>
      <w:tr w14:paraId="4E94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66AD092">
            <w:pPr>
              <w:widowControl/>
              <w:jc w:val="center"/>
              <w:rPr>
                <w:rFonts w:hint="eastAsia" w:ascii="宋体" w:hAnsi="宋体" w:cs="宋体"/>
                <w:kern w:val="0"/>
                <w:sz w:val="21"/>
                <w:szCs w:val="21"/>
              </w:rPr>
            </w:pPr>
          </w:p>
        </w:tc>
        <w:tc>
          <w:tcPr>
            <w:tcW w:w="7094" w:type="dxa"/>
            <w:gridSpan w:val="2"/>
          </w:tcPr>
          <w:p w14:paraId="6AD027CF">
            <w:pPr>
              <w:rPr>
                <w:rFonts w:hint="eastAsia" w:ascii="宋体" w:hAnsi="宋体" w:cs="宋体"/>
                <w:kern w:val="0"/>
                <w:sz w:val="21"/>
                <w:szCs w:val="21"/>
              </w:rPr>
            </w:pPr>
            <w:r>
              <w:rPr>
                <w:rFonts w:hint="eastAsia" w:ascii="宋体" w:hAnsi="宋体" w:cs="宋体"/>
                <w:color w:val="000000"/>
                <w:sz w:val="21"/>
                <w:szCs w:val="21"/>
              </w:rPr>
              <w:t>支持各种尺寸定制，适配不同场景需求；</w:t>
            </w:r>
          </w:p>
        </w:tc>
      </w:tr>
      <w:tr w14:paraId="45A5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4CCDFDB">
            <w:pPr>
              <w:widowControl/>
              <w:jc w:val="center"/>
              <w:rPr>
                <w:rFonts w:hint="eastAsia" w:ascii="宋体" w:hAnsi="宋体" w:cs="宋体"/>
                <w:kern w:val="0"/>
                <w:sz w:val="21"/>
                <w:szCs w:val="21"/>
              </w:rPr>
            </w:pPr>
          </w:p>
        </w:tc>
        <w:tc>
          <w:tcPr>
            <w:tcW w:w="7094" w:type="dxa"/>
            <w:gridSpan w:val="2"/>
          </w:tcPr>
          <w:p w14:paraId="62B49AD7">
            <w:pPr>
              <w:rPr>
                <w:rFonts w:hint="eastAsia" w:ascii="宋体" w:hAnsi="宋体" w:cs="宋体"/>
                <w:kern w:val="0"/>
                <w:sz w:val="21"/>
                <w:szCs w:val="21"/>
              </w:rPr>
            </w:pPr>
            <w:r>
              <w:rPr>
                <w:rFonts w:hint="eastAsia" w:ascii="宋体" w:hAnsi="宋体" w:cs="宋体"/>
                <w:color w:val="000000"/>
                <w:sz w:val="21"/>
                <w:szCs w:val="21"/>
              </w:rPr>
              <w:t>支持定时开关机，无需人工操作；</w:t>
            </w:r>
          </w:p>
        </w:tc>
      </w:tr>
      <w:tr w14:paraId="35C6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8C2D37F">
            <w:pPr>
              <w:widowControl/>
              <w:jc w:val="center"/>
              <w:rPr>
                <w:rFonts w:hint="eastAsia" w:ascii="宋体" w:hAnsi="宋体" w:cs="宋体"/>
                <w:kern w:val="0"/>
                <w:sz w:val="21"/>
                <w:szCs w:val="21"/>
              </w:rPr>
            </w:pPr>
          </w:p>
        </w:tc>
        <w:tc>
          <w:tcPr>
            <w:tcW w:w="7094" w:type="dxa"/>
            <w:gridSpan w:val="2"/>
          </w:tcPr>
          <w:p w14:paraId="15388EAC">
            <w:pPr>
              <w:rPr>
                <w:rFonts w:hint="eastAsia" w:ascii="宋体" w:hAnsi="宋体" w:cs="宋体"/>
                <w:kern w:val="0"/>
                <w:sz w:val="21"/>
                <w:szCs w:val="21"/>
              </w:rPr>
            </w:pPr>
            <w:r>
              <w:rPr>
                <w:rFonts w:hint="eastAsia" w:ascii="宋体" w:hAnsi="宋体" w:cs="宋体"/>
                <w:color w:val="000000"/>
                <w:sz w:val="21"/>
                <w:szCs w:val="21"/>
              </w:rPr>
              <w:t>呼叫方式分多种：1、只叫正检2、叫正检然后同时提醒下一位等待；</w:t>
            </w:r>
          </w:p>
        </w:tc>
      </w:tr>
      <w:tr w14:paraId="3698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DC61ADB">
            <w:pPr>
              <w:widowControl/>
              <w:jc w:val="center"/>
              <w:rPr>
                <w:rFonts w:hint="eastAsia" w:ascii="宋体" w:hAnsi="宋体" w:cs="宋体"/>
                <w:kern w:val="0"/>
                <w:sz w:val="21"/>
                <w:szCs w:val="21"/>
              </w:rPr>
            </w:pPr>
          </w:p>
        </w:tc>
        <w:tc>
          <w:tcPr>
            <w:tcW w:w="7094" w:type="dxa"/>
            <w:gridSpan w:val="2"/>
          </w:tcPr>
          <w:p w14:paraId="040107E6">
            <w:pPr>
              <w:rPr>
                <w:rFonts w:hint="eastAsia" w:ascii="宋体" w:hAnsi="宋体" w:cs="宋体"/>
                <w:kern w:val="0"/>
                <w:sz w:val="21"/>
                <w:szCs w:val="21"/>
              </w:rPr>
            </w:pPr>
            <w:r>
              <w:rPr>
                <w:rFonts w:hint="eastAsia" w:ascii="宋体" w:hAnsi="宋体" w:cs="宋体"/>
                <w:color w:val="000000"/>
                <w:sz w:val="21"/>
                <w:szCs w:val="21"/>
              </w:rPr>
              <w:t>显示待检人员总人数；</w:t>
            </w:r>
          </w:p>
        </w:tc>
      </w:tr>
      <w:tr w14:paraId="597F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9923958">
            <w:pPr>
              <w:widowControl/>
              <w:jc w:val="center"/>
              <w:rPr>
                <w:rFonts w:hint="eastAsia" w:ascii="宋体" w:hAnsi="宋体" w:cs="宋体"/>
                <w:kern w:val="0"/>
                <w:sz w:val="21"/>
                <w:szCs w:val="21"/>
              </w:rPr>
            </w:pPr>
          </w:p>
        </w:tc>
        <w:tc>
          <w:tcPr>
            <w:tcW w:w="7094" w:type="dxa"/>
            <w:gridSpan w:val="2"/>
          </w:tcPr>
          <w:p w14:paraId="19AE9467">
            <w:pPr>
              <w:rPr>
                <w:rFonts w:hint="eastAsia" w:ascii="宋体" w:hAnsi="宋体" w:cs="宋体"/>
                <w:kern w:val="0"/>
                <w:sz w:val="21"/>
                <w:szCs w:val="21"/>
              </w:rPr>
            </w:pPr>
            <w:r>
              <w:rPr>
                <w:rFonts w:hint="eastAsia" w:ascii="宋体" w:hAnsi="宋体" w:cs="宋体"/>
                <w:color w:val="000000"/>
                <w:sz w:val="21"/>
                <w:szCs w:val="21"/>
              </w:rPr>
              <w:t>支持语音播报次数设置功能，可自动语音播报1次或2次等；</w:t>
            </w:r>
          </w:p>
        </w:tc>
      </w:tr>
      <w:tr w14:paraId="6887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AAA124A">
            <w:pPr>
              <w:widowControl/>
              <w:jc w:val="center"/>
              <w:rPr>
                <w:rFonts w:hint="eastAsia" w:ascii="宋体" w:hAnsi="宋体" w:cs="宋体"/>
                <w:kern w:val="0"/>
                <w:sz w:val="21"/>
                <w:szCs w:val="21"/>
              </w:rPr>
            </w:pPr>
          </w:p>
        </w:tc>
        <w:tc>
          <w:tcPr>
            <w:tcW w:w="7094" w:type="dxa"/>
            <w:gridSpan w:val="2"/>
          </w:tcPr>
          <w:p w14:paraId="098C5AE2">
            <w:pPr>
              <w:rPr>
                <w:rFonts w:hint="eastAsia" w:ascii="宋体" w:hAnsi="宋体" w:cs="宋体"/>
                <w:kern w:val="0"/>
                <w:sz w:val="21"/>
                <w:szCs w:val="21"/>
              </w:rPr>
            </w:pPr>
            <w:r>
              <w:rPr>
                <w:rFonts w:hint="eastAsia" w:ascii="宋体" w:hAnsi="宋体" w:cs="宋体"/>
                <w:color w:val="000000"/>
                <w:sz w:val="21"/>
                <w:szCs w:val="21"/>
              </w:rPr>
              <w:t>支持显示医生头像，职称，姓名，工号等信息；</w:t>
            </w:r>
          </w:p>
        </w:tc>
      </w:tr>
      <w:tr w14:paraId="7BFF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5DCB199">
            <w:pPr>
              <w:widowControl/>
              <w:jc w:val="center"/>
              <w:rPr>
                <w:rFonts w:hint="eastAsia" w:ascii="宋体" w:hAnsi="宋体" w:cs="宋体"/>
                <w:kern w:val="0"/>
                <w:sz w:val="21"/>
                <w:szCs w:val="21"/>
              </w:rPr>
            </w:pPr>
          </w:p>
        </w:tc>
        <w:tc>
          <w:tcPr>
            <w:tcW w:w="7094" w:type="dxa"/>
            <w:gridSpan w:val="2"/>
          </w:tcPr>
          <w:p w14:paraId="1E96030A">
            <w:pPr>
              <w:rPr>
                <w:rFonts w:hint="eastAsia" w:ascii="宋体" w:hAnsi="宋体" w:cs="宋体"/>
                <w:kern w:val="0"/>
                <w:sz w:val="21"/>
                <w:szCs w:val="21"/>
              </w:rPr>
            </w:pPr>
            <w:r>
              <w:rPr>
                <w:rFonts w:hint="eastAsia" w:ascii="宋体" w:hAnsi="宋体" w:cs="宋体"/>
                <w:color w:val="000000"/>
                <w:sz w:val="21"/>
                <w:szCs w:val="21"/>
              </w:rPr>
              <w:t>支持显示体检客户下一检查科室信息提示；</w:t>
            </w:r>
          </w:p>
        </w:tc>
      </w:tr>
      <w:tr w14:paraId="5CD2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F825B0A">
            <w:pPr>
              <w:widowControl/>
              <w:jc w:val="center"/>
              <w:rPr>
                <w:rFonts w:hint="eastAsia" w:ascii="宋体" w:hAnsi="宋体" w:cs="宋体"/>
                <w:kern w:val="0"/>
                <w:sz w:val="21"/>
                <w:szCs w:val="21"/>
              </w:rPr>
            </w:pPr>
          </w:p>
        </w:tc>
        <w:tc>
          <w:tcPr>
            <w:tcW w:w="7094" w:type="dxa"/>
            <w:gridSpan w:val="2"/>
          </w:tcPr>
          <w:p w14:paraId="16EB52BF">
            <w:pPr>
              <w:rPr>
                <w:rFonts w:hint="eastAsia" w:ascii="宋体" w:hAnsi="宋体" w:cs="宋体"/>
                <w:kern w:val="0"/>
                <w:sz w:val="21"/>
                <w:szCs w:val="21"/>
              </w:rPr>
            </w:pPr>
            <w:r>
              <w:rPr>
                <w:rFonts w:hint="eastAsia" w:ascii="宋体" w:hAnsi="宋体" w:cs="宋体"/>
                <w:color w:val="000000"/>
                <w:sz w:val="21"/>
                <w:szCs w:val="21"/>
              </w:rPr>
              <w:t>可灵活设置温馨提示、注意事项等信息，可滚动播放；</w:t>
            </w:r>
          </w:p>
        </w:tc>
      </w:tr>
      <w:tr w14:paraId="2EF9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44DF497">
            <w:pPr>
              <w:widowControl/>
              <w:jc w:val="center"/>
              <w:rPr>
                <w:rFonts w:hint="eastAsia" w:ascii="宋体" w:hAnsi="宋体" w:cs="宋体"/>
                <w:kern w:val="0"/>
                <w:sz w:val="21"/>
                <w:szCs w:val="21"/>
              </w:rPr>
            </w:pPr>
          </w:p>
        </w:tc>
        <w:tc>
          <w:tcPr>
            <w:tcW w:w="7094" w:type="dxa"/>
            <w:gridSpan w:val="2"/>
          </w:tcPr>
          <w:p w14:paraId="3DACF329">
            <w:pPr>
              <w:jc w:val="left"/>
              <w:rPr>
                <w:rFonts w:hint="eastAsia" w:ascii="宋体" w:hAnsi="宋体" w:cs="宋体"/>
                <w:color w:val="000000"/>
                <w:sz w:val="21"/>
                <w:szCs w:val="21"/>
              </w:rPr>
            </w:pPr>
            <w:r>
              <w:rPr>
                <w:rFonts w:hint="eastAsia" w:ascii="宋体" w:hAnsi="宋体" w:cs="宋体"/>
                <w:color w:val="000000"/>
                <w:sz w:val="21"/>
                <w:szCs w:val="21"/>
              </w:rPr>
              <w:t>支持暂停提醒，</w:t>
            </w:r>
            <w:r>
              <w:rPr>
                <w:rFonts w:ascii="宋体" w:hAnsi="宋体" w:cs="宋体"/>
                <w:color w:val="000000"/>
                <w:sz w:val="21"/>
                <w:szCs w:val="21"/>
              </w:rPr>
              <w:t>医生端暂停服务后，诊室屏自动弹窗提示“科室暂停，敬请稍后”；</w:t>
            </w:r>
          </w:p>
        </w:tc>
      </w:tr>
      <w:tr w14:paraId="763B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D6ABE28">
            <w:pPr>
              <w:widowControl/>
              <w:jc w:val="center"/>
              <w:rPr>
                <w:rFonts w:hint="eastAsia" w:ascii="宋体" w:hAnsi="宋体" w:cs="宋体"/>
                <w:kern w:val="0"/>
                <w:sz w:val="21"/>
                <w:szCs w:val="21"/>
              </w:rPr>
            </w:pPr>
          </w:p>
        </w:tc>
        <w:tc>
          <w:tcPr>
            <w:tcW w:w="7094" w:type="dxa"/>
            <w:gridSpan w:val="2"/>
          </w:tcPr>
          <w:p w14:paraId="730DDF44">
            <w:pPr>
              <w:jc w:val="left"/>
              <w:rPr>
                <w:rFonts w:hint="eastAsia" w:ascii="宋体" w:hAnsi="宋体" w:cs="宋体"/>
                <w:color w:val="000000"/>
                <w:sz w:val="21"/>
                <w:szCs w:val="21"/>
              </w:rPr>
            </w:pPr>
            <w:r>
              <w:rPr>
                <w:rFonts w:hint="eastAsia" w:ascii="宋体" w:hAnsi="宋体" w:cs="宋体"/>
                <w:color w:val="000000"/>
                <w:sz w:val="21"/>
                <w:szCs w:val="21"/>
              </w:rPr>
              <w:t>支持客户类型显示，如：军人，VIP，憋尿，复检，80+等，可设置开启或关闭；</w:t>
            </w:r>
          </w:p>
        </w:tc>
      </w:tr>
      <w:tr w14:paraId="3298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8123F4D">
            <w:pPr>
              <w:widowControl/>
              <w:jc w:val="center"/>
              <w:rPr>
                <w:rFonts w:hint="eastAsia" w:ascii="宋体" w:hAnsi="宋体" w:cs="宋体"/>
                <w:kern w:val="0"/>
                <w:sz w:val="21"/>
                <w:szCs w:val="21"/>
              </w:rPr>
            </w:pPr>
          </w:p>
        </w:tc>
        <w:tc>
          <w:tcPr>
            <w:tcW w:w="7094" w:type="dxa"/>
            <w:gridSpan w:val="2"/>
          </w:tcPr>
          <w:p w14:paraId="4F134DB4">
            <w:pPr>
              <w:jc w:val="left"/>
              <w:rPr>
                <w:rFonts w:hint="eastAsia" w:ascii="宋体" w:hAnsi="宋体" w:cs="宋体"/>
                <w:color w:val="000000"/>
                <w:sz w:val="21"/>
                <w:szCs w:val="21"/>
              </w:rPr>
            </w:pPr>
            <w:r>
              <w:rPr>
                <w:rFonts w:hint="eastAsia" w:ascii="宋体" w:hAnsi="宋体" w:cs="宋体"/>
                <w:color w:val="000000"/>
                <w:sz w:val="21"/>
                <w:szCs w:val="21"/>
              </w:rPr>
              <w:t>碳13/14呼气试验，支持二次呼气到计时提醒；</w:t>
            </w:r>
          </w:p>
        </w:tc>
      </w:tr>
      <w:tr w14:paraId="11A2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7C9C62A2">
            <w:pPr>
              <w:spacing w:before="156" w:beforeLines="50"/>
              <w:ind w:firstLine="211" w:firstLineChars="100"/>
              <w:jc w:val="center"/>
              <w:rPr>
                <w:rFonts w:hint="eastAsia" w:ascii="宋体" w:hAnsi="宋体" w:eastAsia="宋体" w:cs="宋体"/>
                <w:sz w:val="21"/>
                <w:szCs w:val="21"/>
                <w:lang w:val="en-US" w:eastAsia="zh-CN"/>
              </w:rPr>
            </w:pPr>
            <w:r>
              <w:rPr>
                <w:rFonts w:hint="eastAsia" w:ascii="宋体" w:hAnsi="宋体" w:cs="宋体"/>
                <w:b/>
                <w:bCs/>
                <w:sz w:val="21"/>
                <w:szCs w:val="21"/>
              </w:rPr>
              <w:t>区域屏</w:t>
            </w:r>
            <w:r>
              <w:rPr>
                <w:rFonts w:hint="eastAsia" w:ascii="宋体" w:hAnsi="宋体" w:cs="宋体"/>
                <w:b/>
                <w:bCs/>
                <w:sz w:val="21"/>
                <w:szCs w:val="21"/>
                <w:lang w:val="en-US" w:eastAsia="zh-CN"/>
              </w:rPr>
              <w:t>功能</w:t>
            </w:r>
          </w:p>
        </w:tc>
        <w:tc>
          <w:tcPr>
            <w:tcW w:w="7094" w:type="dxa"/>
            <w:gridSpan w:val="2"/>
          </w:tcPr>
          <w:p w14:paraId="69B9A2A8">
            <w:pPr>
              <w:jc w:val="left"/>
              <w:rPr>
                <w:rFonts w:hint="eastAsia" w:ascii="宋体" w:hAnsi="宋体" w:cs="宋体"/>
                <w:color w:val="000000"/>
                <w:sz w:val="21"/>
                <w:szCs w:val="21"/>
              </w:rPr>
            </w:pPr>
            <w:r>
              <w:rPr>
                <w:rFonts w:ascii="宋体" w:hAnsi="宋体" w:cs="宋体"/>
                <w:color w:val="000000"/>
                <w:sz w:val="21"/>
                <w:szCs w:val="21"/>
              </w:rPr>
              <w:t>支持自定义设置LOGO、科室名称、字体、颜色、背景及显示行数；</w:t>
            </w:r>
            <w:r>
              <w:rPr>
                <w:rFonts w:hint="eastAsia" w:ascii="宋体" w:hAnsi="宋体" w:cs="宋体"/>
                <w:color w:val="000000"/>
                <w:sz w:val="21"/>
                <w:szCs w:val="21"/>
              </w:rPr>
              <w:t xml:space="preserve"> </w:t>
            </w:r>
          </w:p>
        </w:tc>
      </w:tr>
      <w:tr w14:paraId="2F76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4E58F3C">
            <w:pPr>
              <w:widowControl/>
              <w:jc w:val="center"/>
              <w:rPr>
                <w:rFonts w:hint="eastAsia" w:ascii="宋体" w:hAnsi="宋体" w:cs="宋体"/>
                <w:kern w:val="0"/>
                <w:sz w:val="21"/>
                <w:szCs w:val="21"/>
              </w:rPr>
            </w:pPr>
          </w:p>
        </w:tc>
        <w:tc>
          <w:tcPr>
            <w:tcW w:w="7094" w:type="dxa"/>
            <w:gridSpan w:val="2"/>
          </w:tcPr>
          <w:p w14:paraId="75B4ADA3">
            <w:pPr>
              <w:jc w:val="left"/>
              <w:rPr>
                <w:rFonts w:hint="eastAsia" w:ascii="宋体" w:hAnsi="宋体" w:cs="宋体"/>
                <w:color w:val="000000"/>
                <w:sz w:val="21"/>
                <w:szCs w:val="21"/>
              </w:rPr>
            </w:pPr>
            <w:r>
              <w:rPr>
                <w:rFonts w:ascii="宋体" w:hAnsi="宋体" w:cs="宋体"/>
                <w:color w:val="000000"/>
                <w:sz w:val="21"/>
                <w:szCs w:val="21"/>
              </w:rPr>
              <w:t>支持一屏分割显示多个科室队列；</w:t>
            </w:r>
          </w:p>
        </w:tc>
      </w:tr>
      <w:tr w14:paraId="3411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F4182E1">
            <w:pPr>
              <w:widowControl/>
              <w:jc w:val="center"/>
              <w:rPr>
                <w:rFonts w:hint="eastAsia" w:ascii="宋体" w:hAnsi="宋体" w:cs="宋体"/>
                <w:kern w:val="0"/>
                <w:sz w:val="21"/>
                <w:szCs w:val="21"/>
              </w:rPr>
            </w:pPr>
          </w:p>
        </w:tc>
        <w:tc>
          <w:tcPr>
            <w:tcW w:w="7094" w:type="dxa"/>
            <w:gridSpan w:val="2"/>
          </w:tcPr>
          <w:p w14:paraId="5F46A417">
            <w:pPr>
              <w:jc w:val="left"/>
              <w:rPr>
                <w:rFonts w:hint="eastAsia" w:ascii="宋体" w:hAnsi="宋体" w:cs="宋体"/>
                <w:color w:val="000000"/>
                <w:sz w:val="21"/>
                <w:szCs w:val="21"/>
              </w:rPr>
            </w:pPr>
            <w:r>
              <w:rPr>
                <w:rFonts w:hint="eastAsia" w:ascii="宋体" w:hAnsi="宋体" w:cs="宋体"/>
                <w:color w:val="000000"/>
                <w:sz w:val="21"/>
                <w:szCs w:val="21"/>
              </w:rPr>
              <w:t>可显示队列顺序、人员姓名；</w:t>
            </w:r>
          </w:p>
        </w:tc>
      </w:tr>
      <w:tr w14:paraId="5C6D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D2EABB3">
            <w:pPr>
              <w:widowControl/>
              <w:jc w:val="center"/>
              <w:rPr>
                <w:rFonts w:hint="eastAsia" w:ascii="宋体" w:hAnsi="宋体" w:cs="宋体"/>
                <w:kern w:val="0"/>
                <w:sz w:val="21"/>
                <w:szCs w:val="21"/>
              </w:rPr>
            </w:pPr>
          </w:p>
        </w:tc>
        <w:tc>
          <w:tcPr>
            <w:tcW w:w="7094" w:type="dxa"/>
            <w:gridSpan w:val="2"/>
          </w:tcPr>
          <w:p w14:paraId="727DBAA1">
            <w:pPr>
              <w:rPr>
                <w:rFonts w:hint="eastAsia" w:ascii="宋体" w:hAnsi="宋体" w:cs="宋体"/>
                <w:kern w:val="0"/>
                <w:sz w:val="21"/>
                <w:szCs w:val="21"/>
              </w:rPr>
            </w:pPr>
            <w:r>
              <w:rPr>
                <w:rFonts w:hint="eastAsia" w:ascii="宋体" w:hAnsi="宋体" w:cs="宋体"/>
                <w:sz w:val="21"/>
                <w:szCs w:val="21"/>
              </w:rPr>
              <w:t>支持视频、图片播放及轮播展示；</w:t>
            </w:r>
          </w:p>
        </w:tc>
      </w:tr>
      <w:tr w14:paraId="7C4C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77B6153">
            <w:pPr>
              <w:widowControl/>
              <w:jc w:val="center"/>
              <w:rPr>
                <w:rFonts w:hint="eastAsia" w:ascii="宋体" w:hAnsi="宋体" w:cs="宋体"/>
                <w:kern w:val="0"/>
                <w:sz w:val="21"/>
                <w:szCs w:val="21"/>
              </w:rPr>
            </w:pPr>
          </w:p>
        </w:tc>
        <w:tc>
          <w:tcPr>
            <w:tcW w:w="7094" w:type="dxa"/>
            <w:gridSpan w:val="2"/>
          </w:tcPr>
          <w:p w14:paraId="5351984D">
            <w:pPr>
              <w:jc w:val="left"/>
              <w:rPr>
                <w:rFonts w:hint="eastAsia" w:ascii="宋体" w:hAnsi="宋体" w:cs="宋体"/>
                <w:color w:val="000000"/>
                <w:sz w:val="21"/>
                <w:szCs w:val="21"/>
              </w:rPr>
            </w:pPr>
            <w:r>
              <w:rPr>
                <w:rFonts w:ascii="宋体" w:hAnsi="宋体" w:cs="宋体"/>
                <w:color w:val="000000"/>
                <w:sz w:val="21"/>
                <w:szCs w:val="21"/>
              </w:rPr>
              <w:t>兼容Windows、安卓系统，各屏幕语音独立播报，避免显示与语音播报不同步的问题，支持男女声切换；</w:t>
            </w:r>
          </w:p>
        </w:tc>
      </w:tr>
      <w:tr w14:paraId="23B4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0925CCA">
            <w:pPr>
              <w:widowControl/>
              <w:jc w:val="center"/>
              <w:rPr>
                <w:rFonts w:hint="eastAsia" w:ascii="宋体" w:hAnsi="宋体" w:cs="宋体"/>
                <w:kern w:val="0"/>
                <w:sz w:val="21"/>
                <w:szCs w:val="21"/>
              </w:rPr>
            </w:pPr>
          </w:p>
        </w:tc>
        <w:tc>
          <w:tcPr>
            <w:tcW w:w="7094" w:type="dxa"/>
            <w:gridSpan w:val="2"/>
          </w:tcPr>
          <w:p w14:paraId="29FE8155">
            <w:pPr>
              <w:rPr>
                <w:rFonts w:hint="eastAsia" w:ascii="宋体" w:hAnsi="宋体" w:cs="宋体"/>
                <w:kern w:val="0"/>
                <w:sz w:val="21"/>
                <w:szCs w:val="21"/>
              </w:rPr>
            </w:pPr>
            <w:r>
              <w:rPr>
                <w:rFonts w:ascii="Arial" w:hAnsi="Arial" w:eastAsia="等线" w:cs="Arial"/>
                <w:sz w:val="22"/>
              </w:rPr>
              <w:t>支持多种尺寸定制，适配不同场景需求；</w:t>
            </w:r>
          </w:p>
        </w:tc>
      </w:tr>
      <w:tr w14:paraId="43D8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BB1580F">
            <w:pPr>
              <w:widowControl/>
              <w:jc w:val="center"/>
              <w:rPr>
                <w:rFonts w:hint="eastAsia" w:ascii="宋体" w:hAnsi="宋体" w:cs="宋体"/>
                <w:kern w:val="0"/>
                <w:sz w:val="21"/>
                <w:szCs w:val="21"/>
              </w:rPr>
            </w:pPr>
          </w:p>
        </w:tc>
        <w:tc>
          <w:tcPr>
            <w:tcW w:w="7094" w:type="dxa"/>
            <w:gridSpan w:val="2"/>
          </w:tcPr>
          <w:p w14:paraId="3D8C20F3">
            <w:pPr>
              <w:rPr>
                <w:rFonts w:hint="eastAsia" w:ascii="宋体" w:hAnsi="宋体" w:cs="宋体"/>
                <w:kern w:val="0"/>
                <w:sz w:val="21"/>
                <w:szCs w:val="21"/>
              </w:rPr>
            </w:pPr>
            <w:r>
              <w:rPr>
                <w:rFonts w:hint="eastAsia" w:ascii="宋体" w:hAnsi="宋体" w:cs="宋体"/>
                <w:sz w:val="21"/>
                <w:szCs w:val="21"/>
              </w:rPr>
              <w:t>支持定时开关机，无需人工操作；</w:t>
            </w:r>
          </w:p>
        </w:tc>
      </w:tr>
      <w:tr w14:paraId="6233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144351F">
            <w:pPr>
              <w:widowControl/>
              <w:jc w:val="center"/>
              <w:rPr>
                <w:rFonts w:hint="eastAsia" w:ascii="宋体" w:hAnsi="宋体" w:cs="宋体"/>
                <w:kern w:val="0"/>
                <w:sz w:val="21"/>
                <w:szCs w:val="21"/>
              </w:rPr>
            </w:pPr>
          </w:p>
        </w:tc>
        <w:tc>
          <w:tcPr>
            <w:tcW w:w="7094" w:type="dxa"/>
            <w:gridSpan w:val="2"/>
          </w:tcPr>
          <w:p w14:paraId="60B6DC6C">
            <w:pPr>
              <w:rPr>
                <w:rFonts w:hint="eastAsia" w:ascii="宋体" w:hAnsi="宋体" w:cs="宋体"/>
                <w:kern w:val="0"/>
                <w:sz w:val="21"/>
                <w:szCs w:val="21"/>
              </w:rPr>
            </w:pPr>
            <w:r>
              <w:rPr>
                <w:rFonts w:hint="eastAsia" w:ascii="宋体" w:hAnsi="宋体" w:cs="宋体"/>
                <w:sz w:val="21"/>
                <w:szCs w:val="21"/>
              </w:rPr>
              <w:t>显示对应区域待检人员总人数；</w:t>
            </w:r>
          </w:p>
        </w:tc>
      </w:tr>
      <w:tr w14:paraId="69DB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5A85CDD4">
            <w:pPr>
              <w:widowControl/>
              <w:jc w:val="center"/>
              <w:rPr>
                <w:rFonts w:hint="eastAsia" w:ascii="宋体" w:hAnsi="宋体" w:cs="宋体"/>
                <w:kern w:val="0"/>
                <w:sz w:val="21"/>
                <w:szCs w:val="21"/>
              </w:rPr>
            </w:pPr>
          </w:p>
        </w:tc>
        <w:tc>
          <w:tcPr>
            <w:tcW w:w="7094" w:type="dxa"/>
            <w:gridSpan w:val="2"/>
          </w:tcPr>
          <w:p w14:paraId="5A3622A5">
            <w:pPr>
              <w:rPr>
                <w:rFonts w:hint="eastAsia" w:ascii="宋体" w:hAnsi="宋体" w:cs="宋体"/>
                <w:kern w:val="0"/>
                <w:sz w:val="21"/>
                <w:szCs w:val="21"/>
              </w:rPr>
            </w:pPr>
            <w:r>
              <w:rPr>
                <w:rFonts w:hint="eastAsia" w:ascii="宋体" w:hAnsi="宋体" w:cs="宋体"/>
                <w:color w:val="000000"/>
                <w:sz w:val="21"/>
                <w:szCs w:val="21"/>
              </w:rPr>
              <w:t>人员信息综合屏，可显示人员排队号、当前就检科室、检查状态；</w:t>
            </w:r>
          </w:p>
        </w:tc>
      </w:tr>
      <w:tr w14:paraId="3570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4EA8714">
            <w:pPr>
              <w:widowControl/>
              <w:jc w:val="center"/>
              <w:rPr>
                <w:rFonts w:hint="eastAsia" w:ascii="宋体" w:hAnsi="宋体" w:cs="宋体"/>
                <w:kern w:val="0"/>
                <w:sz w:val="21"/>
                <w:szCs w:val="21"/>
              </w:rPr>
            </w:pPr>
          </w:p>
        </w:tc>
        <w:tc>
          <w:tcPr>
            <w:tcW w:w="7094" w:type="dxa"/>
            <w:gridSpan w:val="2"/>
          </w:tcPr>
          <w:p w14:paraId="244CE814">
            <w:pPr>
              <w:widowControl/>
              <w:jc w:val="left"/>
              <w:rPr>
                <w:rFonts w:hint="eastAsia" w:ascii="宋体" w:hAnsi="宋体" w:cs="宋体"/>
                <w:kern w:val="0"/>
                <w:sz w:val="21"/>
                <w:szCs w:val="21"/>
              </w:rPr>
            </w:pPr>
            <w:r>
              <w:rPr>
                <w:rFonts w:hint="eastAsia" w:ascii="宋体" w:hAnsi="宋体" w:cs="宋体"/>
                <w:color w:val="000000"/>
                <w:sz w:val="21"/>
                <w:szCs w:val="21"/>
              </w:rPr>
              <w:t>科室信息综合屏，动态显示每个科室人员分布情况，实时动态显示体检总人数，男女人数，已检人数，未检人数等实时数据信息；</w:t>
            </w:r>
          </w:p>
        </w:tc>
      </w:tr>
      <w:tr w14:paraId="3966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729DA9F0">
            <w:pPr>
              <w:widowControl/>
              <w:jc w:val="center"/>
              <w:rPr>
                <w:rFonts w:hint="eastAsia" w:ascii="宋体" w:hAnsi="宋体" w:cs="宋体"/>
                <w:b/>
                <w:bCs/>
                <w:kern w:val="0"/>
                <w:sz w:val="21"/>
                <w:szCs w:val="21"/>
              </w:rPr>
            </w:pPr>
            <w:r>
              <w:rPr>
                <w:rFonts w:hint="eastAsia" w:ascii="宋体" w:hAnsi="宋体" w:cs="宋体"/>
                <w:b/>
                <w:bCs/>
                <w:color w:val="000000"/>
                <w:kern w:val="0"/>
                <w:sz w:val="21"/>
                <w:szCs w:val="21"/>
              </w:rPr>
              <w:t>候检功能</w:t>
            </w:r>
          </w:p>
        </w:tc>
        <w:tc>
          <w:tcPr>
            <w:tcW w:w="7094" w:type="dxa"/>
            <w:gridSpan w:val="2"/>
          </w:tcPr>
          <w:p w14:paraId="258D50ED">
            <w:pPr>
              <w:jc w:val="left"/>
              <w:rPr>
                <w:rFonts w:hint="eastAsia" w:ascii="宋体" w:hAnsi="宋体" w:cs="宋体"/>
                <w:color w:val="000000"/>
                <w:sz w:val="21"/>
                <w:szCs w:val="21"/>
              </w:rPr>
            </w:pPr>
            <w:r>
              <w:rPr>
                <w:rFonts w:ascii="宋体" w:hAnsi="宋体" w:cs="宋体"/>
                <w:color w:val="000000"/>
                <w:sz w:val="21"/>
                <w:szCs w:val="21"/>
              </w:rPr>
              <w:t>支持自定义体检中心最大承载量，可随时灵活调整上限人数</w:t>
            </w:r>
            <w:r>
              <w:rPr>
                <w:rFonts w:hint="eastAsia" w:ascii="宋体" w:hAnsi="宋体" w:cs="宋体"/>
                <w:color w:val="000000"/>
                <w:sz w:val="21"/>
                <w:szCs w:val="21"/>
              </w:rPr>
              <w:t>；</w:t>
            </w:r>
          </w:p>
        </w:tc>
      </w:tr>
      <w:tr w14:paraId="57E0E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99461DC">
            <w:pPr>
              <w:widowControl/>
              <w:jc w:val="center"/>
              <w:rPr>
                <w:rFonts w:hint="eastAsia" w:ascii="宋体" w:hAnsi="宋体" w:cs="宋体"/>
                <w:kern w:val="0"/>
                <w:sz w:val="21"/>
                <w:szCs w:val="21"/>
              </w:rPr>
            </w:pPr>
          </w:p>
        </w:tc>
        <w:tc>
          <w:tcPr>
            <w:tcW w:w="7094" w:type="dxa"/>
            <w:gridSpan w:val="2"/>
          </w:tcPr>
          <w:p w14:paraId="3C7B0E50">
            <w:pPr>
              <w:jc w:val="left"/>
              <w:rPr>
                <w:rFonts w:hint="eastAsia" w:ascii="宋体" w:hAnsi="宋体" w:cs="宋体"/>
                <w:color w:val="000000"/>
                <w:sz w:val="21"/>
                <w:szCs w:val="21"/>
              </w:rPr>
            </w:pPr>
            <w:r>
              <w:rPr>
                <w:rFonts w:ascii="宋体" w:hAnsi="宋体" w:cs="宋体"/>
                <w:color w:val="000000"/>
                <w:sz w:val="21"/>
                <w:szCs w:val="21"/>
              </w:rPr>
              <w:t>达到最大承载量后，新登记客户自动分配至指定候诊区候检；</w:t>
            </w:r>
          </w:p>
        </w:tc>
      </w:tr>
      <w:tr w14:paraId="5DD6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92F9FA2">
            <w:pPr>
              <w:widowControl/>
              <w:jc w:val="center"/>
              <w:rPr>
                <w:rFonts w:hint="eastAsia" w:ascii="宋体" w:hAnsi="宋体" w:cs="宋体"/>
                <w:kern w:val="0"/>
                <w:sz w:val="21"/>
                <w:szCs w:val="21"/>
              </w:rPr>
            </w:pPr>
          </w:p>
        </w:tc>
        <w:tc>
          <w:tcPr>
            <w:tcW w:w="7094" w:type="dxa"/>
            <w:gridSpan w:val="2"/>
          </w:tcPr>
          <w:p w14:paraId="630BFC31">
            <w:pPr>
              <w:jc w:val="left"/>
              <w:rPr>
                <w:rFonts w:hint="eastAsia" w:ascii="宋体" w:hAnsi="宋体" w:cs="宋体"/>
                <w:color w:val="000000"/>
                <w:sz w:val="21"/>
                <w:szCs w:val="21"/>
              </w:rPr>
            </w:pPr>
            <w:r>
              <w:rPr>
                <w:rFonts w:ascii="宋体" w:hAnsi="宋体" w:cs="宋体"/>
                <w:color w:val="000000"/>
                <w:sz w:val="21"/>
                <w:szCs w:val="21"/>
              </w:rPr>
              <w:t>体检中心每完成1名客户检查，系统自动从候诊区分配1名客户进入检查队列</w:t>
            </w:r>
            <w:r>
              <w:rPr>
                <w:rFonts w:hint="eastAsia" w:ascii="宋体" w:hAnsi="宋体" w:cs="宋体"/>
                <w:color w:val="000000"/>
                <w:sz w:val="21"/>
                <w:szCs w:val="21"/>
              </w:rPr>
              <w:t>；</w:t>
            </w:r>
          </w:p>
        </w:tc>
      </w:tr>
      <w:tr w14:paraId="23B8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13444219">
            <w:pPr>
              <w:widowControl/>
              <w:jc w:val="center"/>
              <w:rPr>
                <w:rFonts w:hint="eastAsia" w:ascii="宋体" w:hAnsi="宋体" w:cs="宋体"/>
                <w:b/>
                <w:bCs/>
                <w:kern w:val="0"/>
                <w:sz w:val="21"/>
                <w:szCs w:val="21"/>
              </w:rPr>
            </w:pPr>
            <w:r>
              <w:rPr>
                <w:rFonts w:hint="eastAsia" w:ascii="宋体" w:hAnsi="宋体" w:cs="宋体"/>
                <w:b/>
                <w:bCs/>
                <w:color w:val="000000"/>
                <w:kern w:val="0"/>
                <w:sz w:val="21"/>
                <w:szCs w:val="21"/>
              </w:rPr>
              <w:t>餐厅管理</w:t>
            </w:r>
          </w:p>
        </w:tc>
        <w:tc>
          <w:tcPr>
            <w:tcW w:w="7094" w:type="dxa"/>
            <w:gridSpan w:val="2"/>
          </w:tcPr>
          <w:p w14:paraId="3CA8685D">
            <w:pPr>
              <w:jc w:val="left"/>
              <w:rPr>
                <w:rFonts w:hint="eastAsia" w:ascii="宋体" w:hAnsi="宋体" w:cs="宋体"/>
                <w:color w:val="000000"/>
                <w:sz w:val="21"/>
                <w:szCs w:val="21"/>
              </w:rPr>
            </w:pPr>
            <w:r>
              <w:rPr>
                <w:rFonts w:ascii="宋体" w:hAnsi="宋体" w:cs="宋体"/>
                <w:color w:val="000000"/>
                <w:sz w:val="21"/>
                <w:szCs w:val="21"/>
              </w:rPr>
              <w:t>支持实时同步客户就餐状态，排队状态持续保留，到达就餐队列指定位置后自动锁定</w:t>
            </w:r>
            <w:r>
              <w:rPr>
                <w:rFonts w:hint="eastAsia" w:ascii="宋体" w:hAnsi="宋体" w:cs="宋体"/>
                <w:color w:val="000000"/>
                <w:sz w:val="21"/>
                <w:szCs w:val="21"/>
              </w:rPr>
              <w:t>；</w:t>
            </w:r>
          </w:p>
        </w:tc>
      </w:tr>
      <w:tr w14:paraId="37B3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8813245">
            <w:pPr>
              <w:widowControl/>
              <w:jc w:val="center"/>
              <w:rPr>
                <w:rFonts w:hint="eastAsia" w:ascii="宋体" w:hAnsi="宋体" w:cs="宋体"/>
                <w:kern w:val="0"/>
                <w:sz w:val="21"/>
                <w:szCs w:val="21"/>
              </w:rPr>
            </w:pPr>
          </w:p>
        </w:tc>
        <w:tc>
          <w:tcPr>
            <w:tcW w:w="7094" w:type="dxa"/>
            <w:gridSpan w:val="2"/>
          </w:tcPr>
          <w:p w14:paraId="0F72870B">
            <w:pPr>
              <w:jc w:val="left"/>
              <w:rPr>
                <w:rFonts w:hint="eastAsia" w:ascii="宋体" w:hAnsi="宋体" w:cs="宋体"/>
                <w:color w:val="000000"/>
                <w:sz w:val="21"/>
                <w:szCs w:val="21"/>
              </w:rPr>
            </w:pPr>
            <w:r>
              <w:rPr>
                <w:rFonts w:ascii="宋体" w:hAnsi="宋体" w:cs="宋体"/>
                <w:color w:val="000000"/>
                <w:sz w:val="21"/>
                <w:szCs w:val="21"/>
              </w:rPr>
              <w:t>实时统计就餐人数、未就餐人数及已完成空腹项目人数；</w:t>
            </w:r>
          </w:p>
        </w:tc>
      </w:tr>
      <w:tr w14:paraId="1053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6D4D6A1">
            <w:pPr>
              <w:widowControl/>
              <w:jc w:val="center"/>
              <w:rPr>
                <w:rFonts w:hint="eastAsia" w:ascii="宋体" w:hAnsi="宋体" w:cs="宋体"/>
                <w:kern w:val="0"/>
                <w:sz w:val="21"/>
                <w:szCs w:val="21"/>
              </w:rPr>
            </w:pPr>
          </w:p>
        </w:tc>
        <w:tc>
          <w:tcPr>
            <w:tcW w:w="7094" w:type="dxa"/>
            <w:gridSpan w:val="2"/>
          </w:tcPr>
          <w:p w14:paraId="5E3AC98F">
            <w:pPr>
              <w:jc w:val="left"/>
              <w:rPr>
                <w:rFonts w:hint="eastAsia" w:ascii="宋体" w:hAnsi="宋体" w:cs="宋体"/>
                <w:color w:val="000000"/>
                <w:sz w:val="21"/>
                <w:szCs w:val="21"/>
              </w:rPr>
            </w:pPr>
            <w:r>
              <w:rPr>
                <w:rFonts w:ascii="宋体" w:hAnsi="宋体" w:cs="宋体"/>
                <w:color w:val="000000"/>
                <w:sz w:val="21"/>
                <w:szCs w:val="21"/>
              </w:rPr>
              <w:t>支持手动解除客户就餐状态及锁定状态；</w:t>
            </w:r>
          </w:p>
        </w:tc>
      </w:tr>
      <w:tr w14:paraId="3ABC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9F74D8C">
            <w:pPr>
              <w:widowControl/>
              <w:jc w:val="center"/>
              <w:rPr>
                <w:rFonts w:hint="eastAsia" w:ascii="宋体" w:hAnsi="宋体" w:cs="宋体"/>
                <w:kern w:val="0"/>
                <w:sz w:val="21"/>
                <w:szCs w:val="21"/>
              </w:rPr>
            </w:pPr>
          </w:p>
        </w:tc>
        <w:tc>
          <w:tcPr>
            <w:tcW w:w="7094" w:type="dxa"/>
            <w:gridSpan w:val="2"/>
          </w:tcPr>
          <w:p w14:paraId="4F66EDC4">
            <w:pPr>
              <w:jc w:val="left"/>
              <w:rPr>
                <w:rFonts w:hint="eastAsia" w:ascii="宋体" w:hAnsi="宋体" w:cs="宋体"/>
                <w:color w:val="000000"/>
                <w:sz w:val="21"/>
                <w:szCs w:val="21"/>
              </w:rPr>
            </w:pPr>
            <w:r>
              <w:rPr>
                <w:rFonts w:ascii="宋体" w:hAnsi="宋体" w:cs="宋体"/>
                <w:color w:val="000000"/>
                <w:sz w:val="21"/>
                <w:szCs w:val="21"/>
              </w:rPr>
              <w:t>生端新增“就餐”状态提示，方便医生了解客户情况</w:t>
            </w:r>
            <w:r>
              <w:rPr>
                <w:rFonts w:hint="eastAsia" w:ascii="宋体" w:hAnsi="宋体" w:cs="宋体"/>
                <w:color w:val="000000"/>
                <w:sz w:val="21"/>
                <w:szCs w:val="21"/>
              </w:rPr>
              <w:t>；</w:t>
            </w:r>
          </w:p>
        </w:tc>
      </w:tr>
      <w:tr w14:paraId="3CCD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68AF3E9E">
            <w:pPr>
              <w:widowControl/>
              <w:jc w:val="center"/>
              <w:rPr>
                <w:rFonts w:hint="eastAsia" w:ascii="宋体" w:hAnsi="宋体" w:cs="宋体"/>
                <w:b/>
                <w:bCs/>
                <w:kern w:val="0"/>
                <w:sz w:val="21"/>
                <w:szCs w:val="21"/>
              </w:rPr>
            </w:pPr>
            <w:r>
              <w:rPr>
                <w:rFonts w:hint="eastAsia" w:ascii="宋体" w:hAnsi="宋体" w:cs="宋体"/>
                <w:b/>
                <w:bCs/>
                <w:color w:val="000000"/>
                <w:kern w:val="0"/>
                <w:sz w:val="21"/>
                <w:szCs w:val="21"/>
              </w:rPr>
              <w:t>餐厅就餐</w:t>
            </w:r>
          </w:p>
        </w:tc>
        <w:tc>
          <w:tcPr>
            <w:tcW w:w="7094" w:type="dxa"/>
            <w:gridSpan w:val="2"/>
          </w:tcPr>
          <w:p w14:paraId="26022EE2">
            <w:pPr>
              <w:jc w:val="left"/>
              <w:rPr>
                <w:rFonts w:hint="eastAsia" w:ascii="宋体" w:hAnsi="宋体" w:cs="宋体"/>
                <w:color w:val="000000"/>
                <w:sz w:val="21"/>
                <w:szCs w:val="21"/>
              </w:rPr>
            </w:pPr>
            <w:r>
              <w:rPr>
                <w:rFonts w:ascii="宋体" w:hAnsi="宋体" w:cs="宋体"/>
                <w:color w:val="000000"/>
                <w:sz w:val="21"/>
                <w:szCs w:val="21"/>
              </w:rPr>
              <w:t>支持客户自助扫码，系统自动识别空腹项目完成情况，提示是否可就餐；</w:t>
            </w:r>
          </w:p>
        </w:tc>
      </w:tr>
      <w:tr w14:paraId="198E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2C39B3AD">
            <w:pPr>
              <w:widowControl/>
              <w:jc w:val="center"/>
              <w:rPr>
                <w:rFonts w:hint="eastAsia" w:ascii="宋体" w:hAnsi="宋体" w:cs="宋体"/>
                <w:kern w:val="0"/>
                <w:sz w:val="21"/>
                <w:szCs w:val="21"/>
              </w:rPr>
            </w:pPr>
          </w:p>
        </w:tc>
        <w:tc>
          <w:tcPr>
            <w:tcW w:w="7094" w:type="dxa"/>
            <w:gridSpan w:val="2"/>
          </w:tcPr>
          <w:p w14:paraId="3CAED0D6">
            <w:pPr>
              <w:jc w:val="left"/>
              <w:rPr>
                <w:rFonts w:hint="eastAsia" w:ascii="宋体" w:hAnsi="宋体" w:cs="宋体"/>
                <w:color w:val="000000"/>
                <w:sz w:val="21"/>
                <w:szCs w:val="21"/>
              </w:rPr>
            </w:pPr>
            <w:r>
              <w:rPr>
                <w:rFonts w:ascii="宋体" w:hAnsi="宋体" w:cs="宋体"/>
                <w:color w:val="000000"/>
                <w:sz w:val="21"/>
                <w:szCs w:val="21"/>
              </w:rPr>
              <w:t>支持自助扫码进入就餐模式，暂停体检排队；</w:t>
            </w:r>
          </w:p>
        </w:tc>
      </w:tr>
      <w:tr w14:paraId="242F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6CC5B79">
            <w:pPr>
              <w:widowControl/>
              <w:jc w:val="center"/>
              <w:rPr>
                <w:rFonts w:hint="eastAsia" w:ascii="宋体" w:hAnsi="宋体" w:cs="宋体"/>
                <w:kern w:val="0"/>
                <w:sz w:val="21"/>
                <w:szCs w:val="21"/>
              </w:rPr>
            </w:pPr>
          </w:p>
        </w:tc>
        <w:tc>
          <w:tcPr>
            <w:tcW w:w="7094" w:type="dxa"/>
            <w:gridSpan w:val="2"/>
          </w:tcPr>
          <w:p w14:paraId="68DDE88D">
            <w:pPr>
              <w:jc w:val="left"/>
              <w:rPr>
                <w:rFonts w:hint="eastAsia" w:ascii="宋体" w:hAnsi="宋体" w:cs="宋体"/>
                <w:color w:val="000000"/>
                <w:sz w:val="21"/>
                <w:szCs w:val="21"/>
              </w:rPr>
            </w:pPr>
            <w:r>
              <w:rPr>
                <w:rFonts w:ascii="宋体" w:hAnsi="宋体" w:cs="宋体"/>
                <w:color w:val="000000"/>
                <w:sz w:val="21"/>
                <w:szCs w:val="21"/>
              </w:rPr>
              <w:t>支持就餐完毕后自助恢复排队</w:t>
            </w:r>
            <w:r>
              <w:rPr>
                <w:rFonts w:hint="eastAsia" w:ascii="宋体" w:hAnsi="宋体" w:cs="宋体"/>
                <w:color w:val="000000"/>
                <w:sz w:val="21"/>
                <w:szCs w:val="21"/>
              </w:rPr>
              <w:t>；</w:t>
            </w:r>
          </w:p>
        </w:tc>
      </w:tr>
      <w:tr w14:paraId="1E52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48A49B03">
            <w:pPr>
              <w:widowControl/>
              <w:jc w:val="center"/>
              <w:rPr>
                <w:rFonts w:hint="eastAsia" w:ascii="宋体" w:hAnsi="宋体" w:cs="宋体"/>
                <w:b/>
                <w:bCs/>
                <w:kern w:val="0"/>
                <w:sz w:val="21"/>
                <w:szCs w:val="21"/>
              </w:rPr>
            </w:pPr>
            <w:r>
              <w:rPr>
                <w:rFonts w:hint="eastAsia" w:ascii="宋体" w:hAnsi="宋体" w:cs="宋体"/>
                <w:b/>
                <w:bCs/>
                <w:sz w:val="21"/>
                <w:szCs w:val="21"/>
              </w:rPr>
              <w:t>统计功能</w:t>
            </w:r>
          </w:p>
        </w:tc>
        <w:tc>
          <w:tcPr>
            <w:tcW w:w="7094" w:type="dxa"/>
            <w:gridSpan w:val="2"/>
          </w:tcPr>
          <w:p w14:paraId="6DDBA4EB">
            <w:pPr>
              <w:jc w:val="left"/>
              <w:rPr>
                <w:rFonts w:hint="eastAsia" w:ascii="宋体" w:hAnsi="宋体" w:cs="宋体"/>
                <w:color w:val="000000"/>
                <w:sz w:val="21"/>
                <w:szCs w:val="21"/>
              </w:rPr>
            </w:pPr>
            <w:r>
              <w:rPr>
                <w:rFonts w:hint="eastAsia" w:ascii="宋体" w:hAnsi="宋体" w:cs="宋体"/>
                <w:color w:val="000000"/>
                <w:sz w:val="21"/>
                <w:szCs w:val="21"/>
              </w:rPr>
              <w:t>可随时查阅，统计导检状态、报道人数、已检人数、未检人数等核心数据；</w:t>
            </w:r>
          </w:p>
        </w:tc>
      </w:tr>
      <w:tr w14:paraId="690D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6F453C5">
            <w:pPr>
              <w:widowControl/>
              <w:jc w:val="center"/>
              <w:rPr>
                <w:rFonts w:hint="eastAsia" w:ascii="宋体" w:hAnsi="宋体" w:cs="宋体"/>
                <w:kern w:val="0"/>
                <w:sz w:val="21"/>
                <w:szCs w:val="21"/>
              </w:rPr>
            </w:pPr>
          </w:p>
        </w:tc>
        <w:tc>
          <w:tcPr>
            <w:tcW w:w="7094" w:type="dxa"/>
            <w:gridSpan w:val="2"/>
          </w:tcPr>
          <w:p w14:paraId="463E8F52">
            <w:pPr>
              <w:rPr>
                <w:rFonts w:hint="eastAsia" w:ascii="宋体" w:hAnsi="宋体" w:cs="宋体"/>
                <w:color w:val="000000"/>
                <w:kern w:val="0"/>
                <w:sz w:val="21"/>
                <w:szCs w:val="21"/>
              </w:rPr>
            </w:pPr>
            <w:r>
              <w:rPr>
                <w:rFonts w:hint="eastAsia" w:ascii="宋体" w:hAnsi="宋体" w:cs="宋体"/>
                <w:sz w:val="21"/>
                <w:szCs w:val="21"/>
              </w:rPr>
              <w:t>支持医生工作量及工作效率统计，包括检查人数、检查时间、平均检查时间、最长检查时间、最短检查时间。</w:t>
            </w:r>
          </w:p>
        </w:tc>
      </w:tr>
      <w:tr w14:paraId="7737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87A1585">
            <w:pPr>
              <w:widowControl/>
              <w:jc w:val="center"/>
              <w:rPr>
                <w:rFonts w:hint="eastAsia" w:ascii="宋体" w:hAnsi="宋体" w:cs="宋体"/>
                <w:kern w:val="0"/>
                <w:sz w:val="21"/>
                <w:szCs w:val="21"/>
              </w:rPr>
            </w:pPr>
          </w:p>
        </w:tc>
        <w:tc>
          <w:tcPr>
            <w:tcW w:w="7094" w:type="dxa"/>
            <w:gridSpan w:val="2"/>
          </w:tcPr>
          <w:p w14:paraId="3E9863C3">
            <w:pPr>
              <w:rPr>
                <w:rFonts w:hint="eastAsia" w:ascii="宋体" w:hAnsi="宋体" w:cs="宋体"/>
                <w:color w:val="000000"/>
                <w:kern w:val="0"/>
                <w:sz w:val="21"/>
                <w:szCs w:val="21"/>
              </w:rPr>
            </w:pPr>
            <w:r>
              <w:rPr>
                <w:rFonts w:hint="eastAsia" w:ascii="宋体" w:hAnsi="宋体" w:cs="宋体"/>
                <w:color w:val="000000"/>
                <w:sz w:val="21"/>
                <w:szCs w:val="21"/>
              </w:rPr>
              <w:t>支持统计所有体检人员的体检时长、检查项目数量、登记时间、检查结束时间，可以生成报表。</w:t>
            </w:r>
          </w:p>
        </w:tc>
      </w:tr>
      <w:tr w14:paraId="28D78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A2BDD27">
            <w:pPr>
              <w:widowControl/>
              <w:jc w:val="center"/>
              <w:rPr>
                <w:rFonts w:hint="eastAsia" w:ascii="宋体" w:hAnsi="宋体" w:cs="宋体"/>
                <w:kern w:val="0"/>
                <w:sz w:val="21"/>
                <w:szCs w:val="21"/>
              </w:rPr>
            </w:pPr>
          </w:p>
        </w:tc>
        <w:tc>
          <w:tcPr>
            <w:tcW w:w="7094" w:type="dxa"/>
            <w:gridSpan w:val="2"/>
          </w:tcPr>
          <w:p w14:paraId="3FCFFADC">
            <w:pPr>
              <w:rPr>
                <w:rFonts w:hint="eastAsia" w:ascii="宋体" w:hAnsi="宋体" w:cs="宋体"/>
                <w:color w:val="000000"/>
                <w:sz w:val="21"/>
                <w:szCs w:val="21"/>
              </w:rPr>
            </w:pPr>
            <w:r>
              <w:rPr>
                <w:rFonts w:ascii="宋体" w:hAnsi="宋体" w:cs="宋体"/>
                <w:color w:val="000000"/>
                <w:sz w:val="21"/>
                <w:szCs w:val="21"/>
              </w:rPr>
              <w:t>支持统计客户队列进入时间、呼叫完成时间，精准核算排队耗时与检查耗时；</w:t>
            </w:r>
          </w:p>
        </w:tc>
      </w:tr>
      <w:tr w14:paraId="6B1C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06247A9">
            <w:pPr>
              <w:widowControl/>
              <w:jc w:val="center"/>
              <w:rPr>
                <w:rFonts w:hint="eastAsia" w:ascii="宋体" w:hAnsi="宋体" w:cs="宋体"/>
                <w:kern w:val="0"/>
                <w:sz w:val="21"/>
                <w:szCs w:val="21"/>
              </w:rPr>
            </w:pPr>
          </w:p>
        </w:tc>
        <w:tc>
          <w:tcPr>
            <w:tcW w:w="7094" w:type="dxa"/>
            <w:gridSpan w:val="2"/>
          </w:tcPr>
          <w:p w14:paraId="0564123D">
            <w:pPr>
              <w:rPr>
                <w:rFonts w:hint="eastAsia" w:ascii="宋体" w:hAnsi="宋体" w:cs="宋体"/>
                <w:color w:val="000000"/>
                <w:sz w:val="21"/>
                <w:szCs w:val="21"/>
              </w:rPr>
            </w:pPr>
            <w:r>
              <w:rPr>
                <w:rFonts w:ascii="宋体" w:hAnsi="宋体" w:cs="宋体"/>
                <w:color w:val="000000"/>
                <w:sz w:val="21"/>
                <w:szCs w:val="21"/>
              </w:rPr>
              <w:t>可查询、统计单个客户的完整体检轨迹；</w:t>
            </w:r>
            <w:r>
              <w:rPr>
                <w:rFonts w:hint="eastAsia" w:ascii="宋体" w:hAnsi="宋体" w:cs="宋体"/>
                <w:color w:val="000000"/>
                <w:sz w:val="21"/>
                <w:szCs w:val="21"/>
              </w:rPr>
              <w:t xml:space="preserve"> </w:t>
            </w:r>
          </w:p>
        </w:tc>
      </w:tr>
      <w:tr w14:paraId="466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9D207C9">
            <w:pPr>
              <w:widowControl/>
              <w:jc w:val="center"/>
              <w:rPr>
                <w:rFonts w:hint="eastAsia" w:ascii="宋体" w:hAnsi="宋体" w:cs="宋体"/>
                <w:kern w:val="0"/>
                <w:sz w:val="21"/>
                <w:szCs w:val="21"/>
              </w:rPr>
            </w:pPr>
          </w:p>
        </w:tc>
        <w:tc>
          <w:tcPr>
            <w:tcW w:w="7094" w:type="dxa"/>
            <w:gridSpan w:val="2"/>
          </w:tcPr>
          <w:p w14:paraId="07F468E0">
            <w:pPr>
              <w:rPr>
                <w:rFonts w:hint="eastAsia" w:ascii="宋体" w:hAnsi="宋体" w:cs="宋体"/>
                <w:color w:val="000000"/>
                <w:kern w:val="0"/>
                <w:sz w:val="21"/>
                <w:szCs w:val="21"/>
              </w:rPr>
            </w:pPr>
            <w:r>
              <w:rPr>
                <w:rFonts w:ascii="宋体" w:hAnsi="宋体" w:cs="宋体"/>
                <w:color w:val="000000"/>
                <w:kern w:val="0"/>
                <w:sz w:val="21"/>
                <w:szCs w:val="21"/>
              </w:rPr>
              <w:t>统计每日检查人数，首位</w:t>
            </w:r>
            <w:r>
              <w:rPr>
                <w:rFonts w:hint="eastAsia" w:ascii="宋体" w:hAnsi="宋体" w:cs="宋体"/>
                <w:color w:val="000000"/>
                <w:kern w:val="0"/>
                <w:sz w:val="21"/>
                <w:szCs w:val="21"/>
              </w:rPr>
              <w:t>及</w:t>
            </w:r>
            <w:r>
              <w:rPr>
                <w:rFonts w:ascii="宋体" w:hAnsi="宋体" w:cs="宋体"/>
                <w:color w:val="000000"/>
                <w:kern w:val="0"/>
                <w:sz w:val="21"/>
                <w:szCs w:val="21"/>
              </w:rPr>
              <w:t>末位登记和检</w:t>
            </w:r>
            <w:r>
              <w:rPr>
                <w:rFonts w:hint="eastAsia" w:ascii="宋体" w:hAnsi="宋体" w:cs="宋体"/>
                <w:color w:val="000000"/>
                <w:kern w:val="0"/>
                <w:sz w:val="21"/>
                <w:szCs w:val="21"/>
              </w:rPr>
              <w:t>查</w:t>
            </w:r>
            <w:r>
              <w:rPr>
                <w:rFonts w:ascii="宋体" w:hAnsi="宋体" w:cs="宋体"/>
                <w:color w:val="000000"/>
                <w:kern w:val="0"/>
                <w:sz w:val="21"/>
                <w:szCs w:val="21"/>
              </w:rPr>
              <w:t>时间，最长最短及平均检查时长</w:t>
            </w:r>
            <w:r>
              <w:rPr>
                <w:rFonts w:hint="eastAsia" w:ascii="宋体" w:hAnsi="宋体" w:cs="宋体"/>
                <w:color w:val="000000"/>
                <w:kern w:val="0"/>
                <w:sz w:val="21"/>
                <w:szCs w:val="21"/>
              </w:rPr>
              <w:t>；</w:t>
            </w:r>
          </w:p>
        </w:tc>
      </w:tr>
      <w:tr w14:paraId="690F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FF8A1EC">
            <w:pPr>
              <w:widowControl/>
              <w:jc w:val="center"/>
              <w:rPr>
                <w:rFonts w:hint="eastAsia" w:ascii="宋体" w:hAnsi="宋体" w:cs="宋体"/>
                <w:kern w:val="0"/>
                <w:sz w:val="21"/>
                <w:szCs w:val="21"/>
              </w:rPr>
            </w:pPr>
          </w:p>
        </w:tc>
        <w:tc>
          <w:tcPr>
            <w:tcW w:w="7094" w:type="dxa"/>
            <w:gridSpan w:val="2"/>
          </w:tcPr>
          <w:p w14:paraId="2068A1B2">
            <w:pPr>
              <w:rPr>
                <w:rFonts w:hint="eastAsia" w:ascii="宋体" w:hAnsi="宋体" w:cs="宋体"/>
                <w:color w:val="000000"/>
                <w:kern w:val="0"/>
                <w:sz w:val="21"/>
                <w:szCs w:val="21"/>
              </w:rPr>
            </w:pPr>
            <w:r>
              <w:rPr>
                <w:rFonts w:hint="eastAsia" w:ascii="宋体" w:hAnsi="宋体" w:cs="宋体"/>
                <w:color w:val="000000"/>
                <w:kern w:val="0"/>
                <w:sz w:val="21"/>
                <w:szCs w:val="21"/>
              </w:rPr>
              <w:t>可各科室实时统计未检人数，并能够精准定位未检人员分布情况；</w:t>
            </w:r>
          </w:p>
        </w:tc>
      </w:tr>
      <w:tr w14:paraId="67C7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restart"/>
            <w:vAlign w:val="center"/>
          </w:tcPr>
          <w:p w14:paraId="52BA2C47">
            <w:pPr>
              <w:jc w:val="center"/>
              <w:rPr>
                <w:rFonts w:hint="eastAsia" w:ascii="宋体" w:hAnsi="宋体" w:cs="宋体"/>
                <w:b/>
                <w:bCs/>
                <w:kern w:val="0"/>
                <w:sz w:val="21"/>
                <w:szCs w:val="21"/>
              </w:rPr>
            </w:pPr>
          </w:p>
          <w:p w14:paraId="60CA88D4">
            <w:pPr>
              <w:jc w:val="center"/>
              <w:rPr>
                <w:rFonts w:hint="eastAsia" w:ascii="宋体" w:hAnsi="宋体" w:cs="宋体"/>
                <w:b/>
                <w:bCs/>
                <w:kern w:val="0"/>
                <w:sz w:val="21"/>
                <w:szCs w:val="21"/>
              </w:rPr>
            </w:pPr>
          </w:p>
          <w:p w14:paraId="3C3F943C">
            <w:pPr>
              <w:jc w:val="center"/>
              <w:rPr>
                <w:rFonts w:hint="eastAsia" w:ascii="宋体" w:hAnsi="宋体" w:cs="宋体"/>
                <w:b/>
                <w:bCs/>
                <w:kern w:val="0"/>
                <w:sz w:val="21"/>
                <w:szCs w:val="21"/>
              </w:rPr>
            </w:pPr>
          </w:p>
          <w:p w14:paraId="4C09E215">
            <w:pPr>
              <w:jc w:val="center"/>
              <w:rPr>
                <w:rFonts w:hint="eastAsia" w:ascii="宋体" w:hAnsi="宋体" w:cs="宋体"/>
                <w:b/>
                <w:bCs/>
                <w:kern w:val="0"/>
                <w:sz w:val="21"/>
                <w:szCs w:val="21"/>
              </w:rPr>
            </w:pPr>
          </w:p>
          <w:p w14:paraId="6E9F96C6">
            <w:pPr>
              <w:jc w:val="center"/>
              <w:rPr>
                <w:rFonts w:hint="eastAsia" w:ascii="宋体" w:hAnsi="宋体" w:cs="宋体"/>
                <w:b/>
                <w:bCs/>
                <w:kern w:val="0"/>
                <w:sz w:val="21"/>
                <w:szCs w:val="21"/>
              </w:rPr>
            </w:pPr>
          </w:p>
          <w:p w14:paraId="3500F67A">
            <w:pPr>
              <w:jc w:val="center"/>
              <w:rPr>
                <w:rFonts w:hint="eastAsia" w:ascii="宋体" w:hAnsi="宋体" w:cs="宋体"/>
                <w:b/>
                <w:bCs/>
                <w:kern w:val="0"/>
                <w:sz w:val="21"/>
                <w:szCs w:val="21"/>
              </w:rPr>
            </w:pPr>
          </w:p>
          <w:p w14:paraId="01F73114">
            <w:pPr>
              <w:jc w:val="center"/>
              <w:rPr>
                <w:rFonts w:hint="eastAsia" w:ascii="宋体" w:hAnsi="宋体" w:cs="宋体"/>
                <w:b/>
                <w:bCs/>
                <w:kern w:val="0"/>
                <w:sz w:val="21"/>
                <w:szCs w:val="21"/>
              </w:rPr>
            </w:pPr>
          </w:p>
          <w:p w14:paraId="456F7BE1">
            <w:pPr>
              <w:jc w:val="center"/>
              <w:rPr>
                <w:rFonts w:hint="eastAsia" w:ascii="宋体" w:hAnsi="宋体" w:cs="宋体"/>
                <w:b/>
                <w:bCs/>
                <w:kern w:val="0"/>
                <w:sz w:val="21"/>
                <w:szCs w:val="21"/>
              </w:rPr>
            </w:pPr>
          </w:p>
          <w:p w14:paraId="4E7D7BE1">
            <w:pPr>
              <w:jc w:val="center"/>
              <w:rPr>
                <w:rFonts w:hint="eastAsia" w:ascii="宋体" w:hAnsi="宋体" w:cs="宋体"/>
                <w:b/>
                <w:bCs/>
                <w:kern w:val="0"/>
                <w:sz w:val="21"/>
                <w:szCs w:val="21"/>
              </w:rPr>
            </w:pPr>
          </w:p>
          <w:p w14:paraId="17BE40D2">
            <w:pPr>
              <w:jc w:val="center"/>
              <w:rPr>
                <w:rFonts w:hint="eastAsia" w:ascii="宋体" w:hAnsi="宋体" w:cs="宋体"/>
                <w:b/>
                <w:bCs/>
                <w:kern w:val="0"/>
                <w:sz w:val="21"/>
                <w:szCs w:val="21"/>
              </w:rPr>
            </w:pPr>
          </w:p>
          <w:p w14:paraId="6D6F3489">
            <w:pPr>
              <w:jc w:val="center"/>
              <w:rPr>
                <w:rFonts w:hint="eastAsia" w:ascii="宋体" w:hAnsi="宋体" w:cs="宋体"/>
                <w:b/>
                <w:bCs/>
                <w:kern w:val="0"/>
                <w:sz w:val="21"/>
                <w:szCs w:val="21"/>
              </w:rPr>
            </w:pPr>
          </w:p>
          <w:p w14:paraId="25D5F797">
            <w:pPr>
              <w:jc w:val="center"/>
              <w:rPr>
                <w:rFonts w:hint="eastAsia" w:ascii="宋体" w:hAnsi="宋体" w:cs="宋体"/>
                <w:b/>
                <w:bCs/>
                <w:kern w:val="0"/>
                <w:sz w:val="21"/>
                <w:szCs w:val="21"/>
              </w:rPr>
            </w:pPr>
          </w:p>
          <w:p w14:paraId="11FAF375">
            <w:pPr>
              <w:jc w:val="center"/>
              <w:rPr>
                <w:rFonts w:hint="eastAsia" w:ascii="宋体" w:hAnsi="宋体" w:cs="宋体"/>
                <w:b/>
                <w:bCs/>
                <w:kern w:val="0"/>
                <w:sz w:val="21"/>
                <w:szCs w:val="21"/>
              </w:rPr>
            </w:pPr>
          </w:p>
          <w:p w14:paraId="01F848C9">
            <w:pPr>
              <w:jc w:val="center"/>
              <w:rPr>
                <w:rFonts w:hint="eastAsia" w:ascii="宋体" w:hAnsi="宋体" w:cs="宋体"/>
                <w:b/>
                <w:bCs/>
                <w:kern w:val="0"/>
                <w:sz w:val="21"/>
                <w:szCs w:val="21"/>
              </w:rPr>
            </w:pPr>
            <w:r>
              <w:rPr>
                <w:rFonts w:hint="eastAsia" w:ascii="宋体" w:hAnsi="宋体" w:cs="宋体"/>
                <w:b/>
                <w:bCs/>
                <w:kern w:val="0"/>
                <w:sz w:val="21"/>
                <w:szCs w:val="21"/>
              </w:rPr>
              <w:t>系统核心分配原则</w:t>
            </w:r>
          </w:p>
        </w:tc>
        <w:tc>
          <w:tcPr>
            <w:tcW w:w="7094" w:type="dxa"/>
            <w:gridSpan w:val="2"/>
          </w:tcPr>
          <w:p w14:paraId="11424160">
            <w:pPr>
              <w:pStyle w:val="2"/>
              <w:jc w:val="left"/>
              <w:rPr>
                <w:b/>
                <w:bCs/>
                <w:sz w:val="21"/>
                <w:szCs w:val="21"/>
              </w:rPr>
            </w:pPr>
            <w:r>
              <w:rPr>
                <w:rFonts w:hint="eastAsia"/>
                <w:b/>
                <w:bCs/>
                <w:sz w:val="21"/>
                <w:szCs w:val="21"/>
              </w:rPr>
              <w:t>核心优先原则：</w:t>
            </w:r>
          </w:p>
          <w:p w14:paraId="35D2BB4B">
            <w:pPr>
              <w:pStyle w:val="2"/>
              <w:rPr>
                <w:sz w:val="21"/>
                <w:szCs w:val="21"/>
              </w:rPr>
            </w:pPr>
            <w:r>
              <w:rPr>
                <w:b/>
                <w:bCs/>
                <w:sz w:val="21"/>
                <w:szCs w:val="21"/>
              </w:rPr>
              <w:t>1、空腹优先原则：</w:t>
            </w:r>
            <w:r>
              <w:rPr>
                <w:rFonts w:hint="eastAsia"/>
                <w:sz w:val="21"/>
                <w:szCs w:val="21"/>
              </w:rPr>
              <w:t>科学规划</w:t>
            </w:r>
            <w:r>
              <w:rPr>
                <w:sz w:val="21"/>
                <w:szCs w:val="21"/>
              </w:rPr>
              <w:t>餐前餐后项目</w:t>
            </w:r>
            <w:r>
              <w:rPr>
                <w:rFonts w:hint="eastAsia"/>
                <w:sz w:val="21"/>
                <w:szCs w:val="21"/>
              </w:rPr>
              <w:t>检查顺序，优先安排</w:t>
            </w:r>
            <w:r>
              <w:rPr>
                <w:sz w:val="21"/>
                <w:szCs w:val="21"/>
              </w:rPr>
              <w:t>客户完成餐前项目</w:t>
            </w:r>
            <w:r>
              <w:rPr>
                <w:rFonts w:hint="eastAsia"/>
                <w:sz w:val="21"/>
                <w:szCs w:val="21"/>
              </w:rPr>
              <w:t>检查</w:t>
            </w:r>
            <w:r>
              <w:rPr>
                <w:sz w:val="21"/>
                <w:szCs w:val="21"/>
              </w:rPr>
              <w:t>；</w:t>
            </w:r>
          </w:p>
          <w:p w14:paraId="706807A8">
            <w:pPr>
              <w:pStyle w:val="2"/>
              <w:rPr>
                <w:sz w:val="21"/>
                <w:szCs w:val="21"/>
              </w:rPr>
            </w:pPr>
            <w:r>
              <w:rPr>
                <w:rFonts w:hint="eastAsia"/>
                <w:b/>
                <w:bCs/>
                <w:sz w:val="21"/>
                <w:szCs w:val="21"/>
              </w:rPr>
              <w:t>2、</w:t>
            </w:r>
            <w:r>
              <w:rPr>
                <w:b/>
                <w:bCs/>
                <w:sz w:val="21"/>
                <w:szCs w:val="21"/>
              </w:rPr>
              <w:t>时间优先原则：</w:t>
            </w:r>
            <w:r>
              <w:rPr>
                <w:sz w:val="21"/>
                <w:szCs w:val="21"/>
              </w:rPr>
              <w:t>分配下一科室时，同等条件下，优先</w:t>
            </w:r>
            <w:r>
              <w:rPr>
                <w:rFonts w:hint="eastAsia"/>
                <w:sz w:val="21"/>
                <w:szCs w:val="21"/>
              </w:rPr>
              <w:t>选择</w:t>
            </w:r>
            <w:r>
              <w:rPr>
                <w:sz w:val="21"/>
                <w:szCs w:val="21"/>
              </w:rPr>
              <w:t>等待时间最短科室；</w:t>
            </w:r>
          </w:p>
          <w:p w14:paraId="61FAA8F2">
            <w:pPr>
              <w:pStyle w:val="2"/>
              <w:rPr>
                <w:sz w:val="21"/>
                <w:szCs w:val="21"/>
              </w:rPr>
            </w:pPr>
            <w:r>
              <w:rPr>
                <w:rFonts w:hint="eastAsia"/>
                <w:b/>
                <w:bCs/>
                <w:sz w:val="21"/>
                <w:szCs w:val="21"/>
              </w:rPr>
              <w:t>3</w:t>
            </w:r>
            <w:r>
              <w:rPr>
                <w:b/>
                <w:bCs/>
                <w:sz w:val="21"/>
                <w:szCs w:val="21"/>
              </w:rPr>
              <w:t>、区域优先原则：</w:t>
            </w:r>
            <w:r>
              <w:rPr>
                <w:rFonts w:hint="eastAsia"/>
                <w:sz w:val="21"/>
                <w:szCs w:val="21"/>
              </w:rPr>
              <w:t>分</w:t>
            </w:r>
            <w:r>
              <w:rPr>
                <w:sz w:val="21"/>
                <w:szCs w:val="21"/>
              </w:rPr>
              <w:t>区或跨楼层</w:t>
            </w:r>
            <w:r>
              <w:rPr>
                <w:rFonts w:hint="eastAsia"/>
                <w:sz w:val="21"/>
                <w:szCs w:val="21"/>
              </w:rPr>
              <w:t>的场景下</w:t>
            </w:r>
            <w:r>
              <w:rPr>
                <w:sz w:val="21"/>
                <w:szCs w:val="21"/>
              </w:rPr>
              <w:t>，优先</w:t>
            </w:r>
            <w:r>
              <w:rPr>
                <w:rFonts w:hint="eastAsia"/>
                <w:sz w:val="21"/>
                <w:szCs w:val="21"/>
              </w:rPr>
              <w:t>安排就近</w:t>
            </w:r>
            <w:r>
              <w:rPr>
                <w:sz w:val="21"/>
                <w:szCs w:val="21"/>
              </w:rPr>
              <w:t>就近检查</w:t>
            </w:r>
            <w:r>
              <w:rPr>
                <w:rFonts w:hint="eastAsia"/>
                <w:sz w:val="21"/>
                <w:szCs w:val="21"/>
              </w:rPr>
              <w:t>科室</w:t>
            </w:r>
            <w:r>
              <w:rPr>
                <w:sz w:val="21"/>
                <w:szCs w:val="21"/>
              </w:rPr>
              <w:t>，</w:t>
            </w:r>
            <w:r>
              <w:rPr>
                <w:rFonts w:hint="eastAsia"/>
                <w:sz w:val="21"/>
                <w:szCs w:val="21"/>
              </w:rPr>
              <w:t>减少客户往返</w:t>
            </w:r>
            <w:r>
              <w:rPr>
                <w:sz w:val="21"/>
                <w:szCs w:val="21"/>
              </w:rPr>
              <w:t>奔波；</w:t>
            </w:r>
          </w:p>
          <w:p w14:paraId="1E5DFE29">
            <w:pPr>
              <w:pStyle w:val="2"/>
              <w:rPr>
                <w:sz w:val="21"/>
                <w:szCs w:val="21"/>
              </w:rPr>
            </w:pPr>
            <w:r>
              <w:rPr>
                <w:rFonts w:hint="eastAsia"/>
                <w:b/>
                <w:bCs/>
                <w:sz w:val="21"/>
                <w:szCs w:val="21"/>
              </w:rPr>
              <w:t>4</w:t>
            </w:r>
            <w:r>
              <w:rPr>
                <w:b/>
                <w:bCs/>
                <w:sz w:val="21"/>
                <w:szCs w:val="21"/>
              </w:rPr>
              <w:t>、男女区分原则：</w:t>
            </w:r>
            <w:r>
              <w:rPr>
                <w:sz w:val="21"/>
                <w:szCs w:val="21"/>
              </w:rPr>
              <w:t>对涉及隐私保护项目，按</w:t>
            </w:r>
            <w:r>
              <w:rPr>
                <w:rFonts w:hint="eastAsia"/>
                <w:sz w:val="21"/>
                <w:szCs w:val="21"/>
              </w:rPr>
              <w:t>客户</w:t>
            </w:r>
            <w:r>
              <w:rPr>
                <w:sz w:val="21"/>
                <w:szCs w:val="21"/>
              </w:rPr>
              <w:t>性别</w:t>
            </w:r>
            <w:r>
              <w:rPr>
                <w:rFonts w:hint="eastAsia"/>
                <w:sz w:val="21"/>
                <w:szCs w:val="21"/>
              </w:rPr>
              <w:t>分配</w:t>
            </w:r>
            <w:r>
              <w:rPr>
                <w:sz w:val="21"/>
                <w:szCs w:val="21"/>
              </w:rPr>
              <w:t>至</w:t>
            </w:r>
            <w:r>
              <w:rPr>
                <w:rFonts w:hint="eastAsia"/>
                <w:sz w:val="21"/>
                <w:szCs w:val="21"/>
              </w:rPr>
              <w:t>对</w:t>
            </w:r>
            <w:r>
              <w:rPr>
                <w:sz w:val="21"/>
                <w:szCs w:val="21"/>
              </w:rPr>
              <w:t>应</w:t>
            </w:r>
            <w:r>
              <w:rPr>
                <w:rFonts w:hint="eastAsia"/>
                <w:sz w:val="21"/>
                <w:szCs w:val="21"/>
              </w:rPr>
              <w:t>专属</w:t>
            </w:r>
            <w:r>
              <w:rPr>
                <w:sz w:val="21"/>
                <w:szCs w:val="21"/>
              </w:rPr>
              <w:t>诊室；</w:t>
            </w:r>
          </w:p>
          <w:p w14:paraId="16EC354D">
            <w:pPr>
              <w:pStyle w:val="2"/>
              <w:rPr>
                <w:sz w:val="21"/>
                <w:szCs w:val="21"/>
              </w:rPr>
            </w:pPr>
            <w:r>
              <w:rPr>
                <w:rFonts w:hint="eastAsia"/>
                <w:b/>
                <w:bCs/>
                <w:sz w:val="21"/>
                <w:szCs w:val="21"/>
              </w:rPr>
              <w:t>5</w:t>
            </w:r>
            <w:r>
              <w:rPr>
                <w:b/>
                <w:bCs/>
                <w:sz w:val="21"/>
                <w:szCs w:val="21"/>
              </w:rPr>
              <w:t>、VIP</w:t>
            </w:r>
            <w:r>
              <w:rPr>
                <w:sz w:val="21"/>
                <w:szCs w:val="21"/>
              </w:rPr>
              <w:t xml:space="preserve"> </w:t>
            </w:r>
            <w:r>
              <w:rPr>
                <w:b/>
                <w:bCs/>
                <w:sz w:val="21"/>
                <w:szCs w:val="21"/>
              </w:rPr>
              <w:t>优先原则：</w:t>
            </w:r>
            <w:r>
              <w:rPr>
                <w:rFonts w:hint="eastAsia"/>
                <w:sz w:val="21"/>
                <w:szCs w:val="21"/>
              </w:rPr>
              <w:t>支持设置多级VIP优先机制，实现差异化优先完成各科室检查；</w:t>
            </w:r>
          </w:p>
          <w:p w14:paraId="7EC58C9B">
            <w:pPr>
              <w:pStyle w:val="2"/>
              <w:rPr>
                <w:sz w:val="21"/>
                <w:szCs w:val="21"/>
              </w:rPr>
            </w:pPr>
            <w:r>
              <w:rPr>
                <w:rFonts w:hint="eastAsia"/>
                <w:b/>
                <w:bCs/>
                <w:sz w:val="21"/>
                <w:szCs w:val="21"/>
              </w:rPr>
              <w:t>6</w:t>
            </w:r>
            <w:r>
              <w:rPr>
                <w:b/>
                <w:bCs/>
                <w:sz w:val="21"/>
                <w:szCs w:val="21"/>
              </w:rPr>
              <w:t>、项目依赖原则：</w:t>
            </w:r>
            <w:r>
              <w:rPr>
                <w:rFonts w:hint="eastAsia"/>
                <w:sz w:val="21"/>
                <w:szCs w:val="21"/>
              </w:rPr>
              <w:t>严格遵循</w:t>
            </w:r>
            <w:r>
              <w:rPr>
                <w:sz w:val="21"/>
                <w:szCs w:val="21"/>
              </w:rPr>
              <w:t>完成 A 项目才能检查 B 项目</w:t>
            </w:r>
            <w:r>
              <w:rPr>
                <w:rFonts w:hint="eastAsia"/>
                <w:sz w:val="21"/>
                <w:szCs w:val="21"/>
              </w:rPr>
              <w:t>的逻辑进行科室分配</w:t>
            </w:r>
            <w:r>
              <w:rPr>
                <w:sz w:val="21"/>
                <w:szCs w:val="21"/>
              </w:rPr>
              <w:t>；</w:t>
            </w:r>
          </w:p>
          <w:p w14:paraId="5337C904">
            <w:pPr>
              <w:pStyle w:val="2"/>
              <w:rPr>
                <w:sz w:val="21"/>
                <w:szCs w:val="21"/>
              </w:rPr>
            </w:pPr>
            <w:r>
              <w:rPr>
                <w:rFonts w:hint="eastAsia"/>
                <w:b/>
                <w:bCs/>
                <w:sz w:val="21"/>
                <w:szCs w:val="21"/>
              </w:rPr>
              <w:t>7</w:t>
            </w:r>
            <w:r>
              <w:rPr>
                <w:b/>
                <w:bCs/>
                <w:sz w:val="21"/>
                <w:szCs w:val="21"/>
              </w:rPr>
              <w:t>、瓶颈项目独立原则：</w:t>
            </w:r>
            <w:r>
              <w:rPr>
                <w:sz w:val="21"/>
                <w:szCs w:val="21"/>
              </w:rPr>
              <w:t>瓶颈项目独立队列，并可设置检查</w:t>
            </w:r>
            <w:r>
              <w:rPr>
                <w:rFonts w:hint="eastAsia"/>
                <w:sz w:val="21"/>
                <w:szCs w:val="21"/>
              </w:rPr>
              <w:t>人数</w:t>
            </w:r>
            <w:r>
              <w:rPr>
                <w:sz w:val="21"/>
                <w:szCs w:val="21"/>
              </w:rPr>
              <w:t>上限</w:t>
            </w:r>
            <w:r>
              <w:rPr>
                <w:rFonts w:hint="eastAsia"/>
                <w:sz w:val="21"/>
                <w:szCs w:val="21"/>
              </w:rPr>
              <w:t>，如彩超、CT等瓶颈科室</w:t>
            </w:r>
            <w:r>
              <w:rPr>
                <w:sz w:val="21"/>
                <w:szCs w:val="21"/>
              </w:rPr>
              <w:t>；</w:t>
            </w:r>
          </w:p>
          <w:p w14:paraId="164F95E8">
            <w:pPr>
              <w:pStyle w:val="2"/>
              <w:rPr>
                <w:rFonts w:ascii="Arial" w:hAnsi="Arial" w:eastAsia="等线" w:cs="Arial"/>
                <w:sz w:val="21"/>
                <w:szCs w:val="21"/>
              </w:rPr>
            </w:pPr>
            <w:r>
              <w:rPr>
                <w:rFonts w:hint="eastAsia"/>
                <w:sz w:val="21"/>
                <w:szCs w:val="21"/>
              </w:rPr>
              <w:t>8、</w:t>
            </w:r>
            <w:r>
              <w:rPr>
                <w:rFonts w:hint="eastAsia"/>
                <w:b/>
                <w:bCs/>
                <w:sz w:val="21"/>
                <w:szCs w:val="21"/>
              </w:rPr>
              <w:t>拒检项目限制分配原则</w:t>
            </w:r>
            <w:r>
              <w:rPr>
                <w:b/>
                <w:bCs/>
                <w:sz w:val="21"/>
                <w:szCs w:val="21"/>
              </w:rPr>
              <w:t>：</w:t>
            </w:r>
            <w:r>
              <w:rPr>
                <w:rFonts w:ascii="Arial" w:hAnsi="Arial" w:eastAsia="等线" w:cs="Arial"/>
                <w:sz w:val="21"/>
                <w:szCs w:val="21"/>
              </w:rPr>
              <w:t>当同级别科室或医生无法开展特定部位检查时，系统自动规避，不向对应科室分配限制项目；</w:t>
            </w:r>
          </w:p>
          <w:p w14:paraId="2D0D06B6">
            <w:pPr>
              <w:pStyle w:val="2"/>
              <w:rPr>
                <w:b/>
                <w:bCs/>
                <w:sz w:val="21"/>
                <w:szCs w:val="21"/>
              </w:rPr>
            </w:pPr>
            <w:r>
              <w:rPr>
                <w:rFonts w:hint="eastAsia"/>
                <w:sz w:val="21"/>
                <w:szCs w:val="21"/>
              </w:rPr>
              <w:t>9、</w:t>
            </w:r>
            <w:r>
              <w:rPr>
                <w:rFonts w:hint="eastAsia"/>
                <w:b/>
                <w:bCs/>
                <w:sz w:val="21"/>
                <w:szCs w:val="21"/>
              </w:rPr>
              <w:t>检查科室告知原则：</w:t>
            </w:r>
            <w:r>
              <w:rPr>
                <w:rFonts w:ascii="Arial" w:hAnsi="Arial" w:eastAsia="等线" w:cs="Arial"/>
                <w:sz w:val="21"/>
                <w:szCs w:val="21"/>
              </w:rPr>
              <w:t>通过医生端提示、医生口头告知、体检指引单标注、诊室屏显示、综合屏公示</w:t>
            </w:r>
            <w:r>
              <w:rPr>
                <w:rFonts w:hint="eastAsia" w:ascii="Arial" w:hAnsi="Arial" w:eastAsia="等线" w:cs="Arial"/>
                <w:sz w:val="21"/>
                <w:szCs w:val="21"/>
              </w:rPr>
              <w:t>、导检微信端</w:t>
            </w:r>
            <w:r>
              <w:rPr>
                <w:rFonts w:ascii="Arial" w:hAnsi="Arial" w:eastAsia="等线" w:cs="Arial"/>
                <w:sz w:val="21"/>
                <w:szCs w:val="21"/>
              </w:rPr>
              <w:t>等多渠道提醒客户下一检查科室；</w:t>
            </w:r>
          </w:p>
        </w:tc>
      </w:tr>
      <w:tr w14:paraId="11DD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3A2765A2">
            <w:pPr>
              <w:jc w:val="center"/>
              <w:rPr>
                <w:rFonts w:hint="eastAsia" w:ascii="宋体" w:hAnsi="宋体" w:cs="宋体"/>
                <w:b/>
                <w:bCs/>
                <w:kern w:val="0"/>
                <w:sz w:val="21"/>
                <w:szCs w:val="21"/>
              </w:rPr>
            </w:pPr>
          </w:p>
        </w:tc>
        <w:tc>
          <w:tcPr>
            <w:tcW w:w="7094" w:type="dxa"/>
            <w:gridSpan w:val="2"/>
          </w:tcPr>
          <w:p w14:paraId="36E09981">
            <w:pPr>
              <w:pStyle w:val="2"/>
              <w:rPr>
                <w:sz w:val="21"/>
                <w:szCs w:val="21"/>
              </w:rPr>
            </w:pPr>
            <w:r>
              <w:rPr>
                <w:b/>
                <w:bCs/>
                <w:sz w:val="21"/>
                <w:szCs w:val="21"/>
              </w:rPr>
              <w:t>绿色通道</w:t>
            </w:r>
            <w:r>
              <w:rPr>
                <w:rFonts w:hint="eastAsia"/>
                <w:b/>
                <w:bCs/>
                <w:sz w:val="21"/>
                <w:szCs w:val="21"/>
              </w:rPr>
              <w:t>规则</w:t>
            </w:r>
            <w:r>
              <w:rPr>
                <w:sz w:val="21"/>
                <w:szCs w:val="21"/>
              </w:rPr>
              <w:t>：</w:t>
            </w:r>
          </w:p>
          <w:p w14:paraId="616DC4D3">
            <w:pPr>
              <w:pStyle w:val="2"/>
              <w:rPr>
                <w:sz w:val="21"/>
                <w:szCs w:val="21"/>
              </w:rPr>
            </w:pPr>
            <w:r>
              <w:rPr>
                <w:sz w:val="21"/>
                <w:szCs w:val="21"/>
              </w:rPr>
              <w:t xml:space="preserve">1、 </w:t>
            </w:r>
            <w:r>
              <w:rPr>
                <w:rFonts w:hint="eastAsia"/>
                <w:sz w:val="21"/>
                <w:szCs w:val="21"/>
              </w:rPr>
              <w:t>支持</w:t>
            </w:r>
            <w:r>
              <w:rPr>
                <w:sz w:val="21"/>
                <w:szCs w:val="21"/>
              </w:rPr>
              <w:t>自定义客户类型，比如</w:t>
            </w:r>
            <w:r>
              <w:rPr>
                <w:rFonts w:hint="eastAsia"/>
                <w:sz w:val="21"/>
                <w:szCs w:val="21"/>
              </w:rPr>
              <w:t>：</w:t>
            </w:r>
            <w:r>
              <w:rPr>
                <w:sz w:val="21"/>
                <w:szCs w:val="21"/>
              </w:rPr>
              <w:t>军</w:t>
            </w:r>
            <w:r>
              <w:rPr>
                <w:rFonts w:hint="eastAsia"/>
                <w:sz w:val="21"/>
                <w:szCs w:val="21"/>
              </w:rPr>
              <w:t>属</w:t>
            </w:r>
            <w:r>
              <w:rPr>
                <w:sz w:val="21"/>
                <w:szCs w:val="21"/>
              </w:rPr>
              <w:t>、老人</w:t>
            </w:r>
            <w:r>
              <w:rPr>
                <w:rFonts w:hint="eastAsia"/>
                <w:sz w:val="21"/>
                <w:szCs w:val="21"/>
              </w:rPr>
              <w:t>、</w:t>
            </w:r>
            <w:r>
              <w:rPr>
                <w:sz w:val="21"/>
                <w:szCs w:val="21"/>
              </w:rPr>
              <w:t>孕妇</w:t>
            </w:r>
            <w:r>
              <w:rPr>
                <w:rFonts w:hint="eastAsia"/>
                <w:sz w:val="21"/>
                <w:szCs w:val="21"/>
              </w:rPr>
              <w:t>等</w:t>
            </w:r>
            <w:r>
              <w:rPr>
                <w:sz w:val="21"/>
                <w:szCs w:val="21"/>
              </w:rPr>
              <w:t>；</w:t>
            </w:r>
          </w:p>
          <w:p w14:paraId="4B24C01F">
            <w:pPr>
              <w:pStyle w:val="2"/>
              <w:rPr>
                <w:sz w:val="21"/>
                <w:szCs w:val="21"/>
              </w:rPr>
            </w:pPr>
            <w:r>
              <w:rPr>
                <w:sz w:val="21"/>
                <w:szCs w:val="21"/>
              </w:rPr>
              <w:t>2、</w:t>
            </w:r>
            <w:r>
              <w:rPr>
                <w:rFonts w:hint="eastAsia"/>
                <w:sz w:val="21"/>
                <w:szCs w:val="21"/>
              </w:rPr>
              <w:t>可设置</w:t>
            </w:r>
            <w:r>
              <w:rPr>
                <w:sz w:val="21"/>
                <w:szCs w:val="21"/>
              </w:rPr>
              <w:t>不同类型客户插队优先级；</w:t>
            </w:r>
          </w:p>
          <w:p w14:paraId="5BEB4D8F">
            <w:pPr>
              <w:pStyle w:val="2"/>
              <w:rPr>
                <w:sz w:val="21"/>
                <w:szCs w:val="21"/>
              </w:rPr>
            </w:pPr>
            <w:r>
              <w:rPr>
                <w:sz w:val="21"/>
                <w:szCs w:val="21"/>
              </w:rPr>
              <w:t>3、</w:t>
            </w:r>
            <w:r>
              <w:rPr>
                <w:rFonts w:hint="eastAsia"/>
                <w:sz w:val="21"/>
                <w:szCs w:val="21"/>
              </w:rPr>
              <w:t>可指定</w:t>
            </w:r>
            <w:r>
              <w:rPr>
                <w:sz w:val="21"/>
                <w:szCs w:val="21"/>
              </w:rPr>
              <w:t>客户</w:t>
            </w:r>
            <w:r>
              <w:rPr>
                <w:rFonts w:hint="eastAsia"/>
                <w:sz w:val="21"/>
                <w:szCs w:val="21"/>
              </w:rPr>
              <w:t>在全部或部分科室优先插队检查权益</w:t>
            </w:r>
            <w:r>
              <w:rPr>
                <w:sz w:val="21"/>
                <w:szCs w:val="21"/>
              </w:rPr>
              <w:t>；</w:t>
            </w:r>
          </w:p>
          <w:p w14:paraId="1472C435">
            <w:pPr>
              <w:pStyle w:val="2"/>
              <w:rPr>
                <w:b/>
                <w:bCs/>
                <w:sz w:val="21"/>
                <w:szCs w:val="21"/>
              </w:rPr>
            </w:pPr>
            <w:r>
              <w:rPr>
                <w:sz w:val="21"/>
                <w:szCs w:val="21"/>
              </w:rPr>
              <w:t>4、</w:t>
            </w:r>
            <w:r>
              <w:rPr>
                <w:rFonts w:hint="eastAsia"/>
                <w:sz w:val="21"/>
                <w:szCs w:val="21"/>
              </w:rPr>
              <w:t>支持特殊客户个性化图标显示及自定义上传，图标可在医生端、护士端、显示屏等多方位显示提醒；</w:t>
            </w:r>
            <w:r>
              <w:rPr>
                <w:sz w:val="21"/>
                <w:szCs w:val="21"/>
              </w:rPr>
              <w:t xml:space="preserve"> </w:t>
            </w:r>
          </w:p>
        </w:tc>
      </w:tr>
      <w:tr w14:paraId="0339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4920D252">
            <w:pPr>
              <w:widowControl/>
              <w:jc w:val="center"/>
              <w:rPr>
                <w:rFonts w:hint="eastAsia" w:ascii="宋体" w:hAnsi="宋体" w:cs="宋体"/>
                <w:b/>
                <w:bCs/>
                <w:kern w:val="0"/>
                <w:sz w:val="21"/>
                <w:szCs w:val="21"/>
              </w:rPr>
            </w:pPr>
          </w:p>
        </w:tc>
        <w:tc>
          <w:tcPr>
            <w:tcW w:w="7094" w:type="dxa"/>
            <w:gridSpan w:val="2"/>
          </w:tcPr>
          <w:p w14:paraId="601118B4">
            <w:pPr>
              <w:pStyle w:val="2"/>
              <w:jc w:val="left"/>
              <w:rPr>
                <w:b/>
                <w:bCs/>
                <w:sz w:val="21"/>
                <w:szCs w:val="21"/>
              </w:rPr>
            </w:pPr>
            <w:r>
              <w:rPr>
                <w:rFonts w:hint="eastAsia"/>
                <w:b/>
                <w:bCs/>
                <w:sz w:val="21"/>
                <w:szCs w:val="21"/>
              </w:rPr>
              <w:t>过号处理规则</w:t>
            </w:r>
          </w:p>
          <w:p w14:paraId="0AED902E">
            <w:pPr>
              <w:pStyle w:val="2"/>
              <w:rPr>
                <w:sz w:val="21"/>
                <w:szCs w:val="21"/>
              </w:rPr>
            </w:pPr>
            <w:r>
              <w:rPr>
                <w:sz w:val="21"/>
                <w:szCs w:val="21"/>
              </w:rPr>
              <w:t>1、过号</w:t>
            </w:r>
            <w:r>
              <w:rPr>
                <w:rFonts w:hint="eastAsia"/>
                <w:sz w:val="21"/>
                <w:szCs w:val="21"/>
              </w:rPr>
              <w:t>客户</w:t>
            </w:r>
            <w:r>
              <w:rPr>
                <w:sz w:val="21"/>
                <w:szCs w:val="21"/>
              </w:rPr>
              <w:t>自动退位，退位数量可自定义，重复过号</w:t>
            </w:r>
            <w:r>
              <w:rPr>
                <w:rFonts w:hint="eastAsia"/>
                <w:sz w:val="21"/>
                <w:szCs w:val="21"/>
              </w:rPr>
              <w:t>时</w:t>
            </w:r>
            <w:r>
              <w:rPr>
                <w:sz w:val="21"/>
                <w:szCs w:val="21"/>
              </w:rPr>
              <w:t>退位</w:t>
            </w:r>
            <w:r>
              <w:rPr>
                <w:rFonts w:hint="eastAsia"/>
                <w:sz w:val="21"/>
                <w:szCs w:val="21"/>
              </w:rPr>
              <w:t>次数</w:t>
            </w:r>
            <w:r>
              <w:rPr>
                <w:sz w:val="21"/>
                <w:szCs w:val="21"/>
              </w:rPr>
              <w:t>可以叠加，叠加数量可自定义；</w:t>
            </w:r>
          </w:p>
          <w:p w14:paraId="56C0DF92">
            <w:pPr>
              <w:pStyle w:val="2"/>
              <w:rPr>
                <w:sz w:val="21"/>
                <w:szCs w:val="21"/>
              </w:rPr>
            </w:pPr>
            <w:r>
              <w:rPr>
                <w:sz w:val="21"/>
                <w:szCs w:val="21"/>
              </w:rPr>
              <w:t>2、</w:t>
            </w:r>
            <w:r>
              <w:rPr>
                <w:rFonts w:hint="eastAsia"/>
                <w:sz w:val="21"/>
                <w:szCs w:val="21"/>
              </w:rPr>
              <w:t>支持</w:t>
            </w:r>
            <w:r>
              <w:rPr>
                <w:sz w:val="21"/>
                <w:szCs w:val="21"/>
              </w:rPr>
              <w:t>过号</w:t>
            </w:r>
            <w:r>
              <w:rPr>
                <w:rFonts w:hint="eastAsia"/>
                <w:sz w:val="21"/>
                <w:szCs w:val="21"/>
              </w:rPr>
              <w:t>客户</w:t>
            </w:r>
            <w:r>
              <w:rPr>
                <w:sz w:val="21"/>
                <w:szCs w:val="21"/>
              </w:rPr>
              <w:t>自动转移到</w:t>
            </w:r>
            <w:r>
              <w:rPr>
                <w:rFonts w:hint="eastAsia"/>
                <w:sz w:val="21"/>
                <w:szCs w:val="21"/>
              </w:rPr>
              <w:t>过号列表</w:t>
            </w:r>
            <w:r>
              <w:rPr>
                <w:sz w:val="21"/>
                <w:szCs w:val="21"/>
              </w:rPr>
              <w:t>；</w:t>
            </w:r>
          </w:p>
          <w:p w14:paraId="404DB9FB">
            <w:pPr>
              <w:pStyle w:val="2"/>
              <w:rPr>
                <w:sz w:val="21"/>
                <w:szCs w:val="21"/>
              </w:rPr>
            </w:pPr>
            <w:r>
              <w:rPr>
                <w:sz w:val="21"/>
                <w:szCs w:val="21"/>
              </w:rPr>
              <w:t>3、 自定义迟到次数，超过该次数，冻结排队位置</w:t>
            </w:r>
            <w:r>
              <w:rPr>
                <w:rFonts w:hint="eastAsia"/>
                <w:sz w:val="21"/>
                <w:szCs w:val="21"/>
              </w:rPr>
              <w:t>，需手动</w:t>
            </w:r>
            <w:r>
              <w:rPr>
                <w:sz w:val="21"/>
                <w:szCs w:val="21"/>
              </w:rPr>
              <w:t>解除迟到状态；</w:t>
            </w:r>
          </w:p>
          <w:p w14:paraId="0B3173ED">
            <w:pPr>
              <w:pStyle w:val="2"/>
              <w:jc w:val="left"/>
              <w:rPr>
                <w:b/>
                <w:bCs/>
                <w:sz w:val="21"/>
                <w:szCs w:val="21"/>
              </w:rPr>
            </w:pPr>
            <w:r>
              <w:rPr>
                <w:sz w:val="21"/>
                <w:szCs w:val="21"/>
              </w:rPr>
              <w:t>4、</w:t>
            </w:r>
            <w:r>
              <w:rPr>
                <w:rFonts w:hint="eastAsia"/>
                <w:sz w:val="21"/>
                <w:szCs w:val="21"/>
              </w:rPr>
              <w:t>支持通过</w:t>
            </w:r>
            <w:r>
              <w:rPr>
                <w:sz w:val="21"/>
                <w:szCs w:val="21"/>
              </w:rPr>
              <w:t>导检台、 自助</w:t>
            </w:r>
            <w:r>
              <w:rPr>
                <w:rFonts w:hint="eastAsia"/>
                <w:sz w:val="21"/>
                <w:szCs w:val="21"/>
              </w:rPr>
              <w:t>查询</w:t>
            </w:r>
            <w:r>
              <w:rPr>
                <w:sz w:val="21"/>
                <w:szCs w:val="21"/>
              </w:rPr>
              <w:t>机、微信</w:t>
            </w:r>
            <w:r>
              <w:rPr>
                <w:rFonts w:hint="eastAsia"/>
                <w:sz w:val="21"/>
                <w:szCs w:val="21"/>
              </w:rPr>
              <w:t>端</w:t>
            </w:r>
            <w:r>
              <w:rPr>
                <w:sz w:val="21"/>
                <w:szCs w:val="21"/>
              </w:rPr>
              <w:t>、带扫描显示屏等多种手段解除迟到状态；</w:t>
            </w:r>
          </w:p>
        </w:tc>
      </w:tr>
      <w:tr w14:paraId="3E2F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7B456E92">
            <w:pPr>
              <w:widowControl/>
              <w:jc w:val="center"/>
              <w:rPr>
                <w:rFonts w:hint="eastAsia" w:ascii="宋体" w:hAnsi="宋体" w:cs="宋体"/>
                <w:b/>
                <w:bCs/>
                <w:kern w:val="0"/>
                <w:sz w:val="21"/>
                <w:szCs w:val="21"/>
              </w:rPr>
            </w:pPr>
          </w:p>
        </w:tc>
        <w:tc>
          <w:tcPr>
            <w:tcW w:w="7094" w:type="dxa"/>
            <w:gridSpan w:val="2"/>
          </w:tcPr>
          <w:p w14:paraId="3CA5D0B7">
            <w:pPr>
              <w:pStyle w:val="2"/>
              <w:rPr>
                <w:sz w:val="21"/>
                <w:szCs w:val="21"/>
              </w:rPr>
            </w:pPr>
            <w:r>
              <w:rPr>
                <w:rFonts w:hint="eastAsia"/>
                <w:b/>
                <w:bCs/>
                <w:sz w:val="21"/>
                <w:szCs w:val="21"/>
              </w:rPr>
              <w:t>虚拟双队列</w:t>
            </w:r>
            <w:r>
              <w:rPr>
                <w:b/>
                <w:bCs/>
                <w:sz w:val="21"/>
                <w:szCs w:val="21"/>
              </w:rPr>
              <w:t>排队</w:t>
            </w:r>
            <w:r>
              <w:rPr>
                <w:rFonts w:hint="eastAsia"/>
                <w:b/>
                <w:bCs/>
                <w:sz w:val="21"/>
                <w:szCs w:val="21"/>
              </w:rPr>
              <w:t>规则</w:t>
            </w:r>
            <w:r>
              <w:rPr>
                <w:sz w:val="21"/>
                <w:szCs w:val="21"/>
              </w:rPr>
              <w:t>：</w:t>
            </w:r>
          </w:p>
          <w:p w14:paraId="4044CB28">
            <w:pPr>
              <w:pStyle w:val="2"/>
              <w:rPr>
                <w:sz w:val="21"/>
                <w:szCs w:val="21"/>
              </w:rPr>
            </w:pPr>
            <w:r>
              <w:rPr>
                <w:sz w:val="21"/>
                <w:szCs w:val="21"/>
              </w:rPr>
              <w:t>1、</w:t>
            </w:r>
            <w:r>
              <w:rPr>
                <w:rFonts w:hint="eastAsia"/>
                <w:sz w:val="21"/>
                <w:szCs w:val="21"/>
              </w:rPr>
              <w:t>指定的瓶颈科室</w:t>
            </w:r>
            <w:r>
              <w:rPr>
                <w:sz w:val="21"/>
                <w:szCs w:val="21"/>
              </w:rPr>
              <w:t>按照登记</w:t>
            </w:r>
            <w:r>
              <w:rPr>
                <w:rFonts w:hint="eastAsia"/>
                <w:sz w:val="21"/>
                <w:szCs w:val="21"/>
              </w:rPr>
              <w:t>顺序</w:t>
            </w:r>
            <w:r>
              <w:rPr>
                <w:sz w:val="21"/>
                <w:szCs w:val="21"/>
              </w:rPr>
              <w:t>先后</w:t>
            </w:r>
            <w:r>
              <w:rPr>
                <w:rFonts w:hint="eastAsia"/>
                <w:sz w:val="21"/>
                <w:szCs w:val="21"/>
              </w:rPr>
              <w:t>，由导检系统按</w:t>
            </w:r>
            <w:r>
              <w:rPr>
                <w:sz w:val="21"/>
                <w:szCs w:val="21"/>
              </w:rPr>
              <w:t>顺序独立排队；</w:t>
            </w:r>
          </w:p>
          <w:p w14:paraId="31AFBE97">
            <w:pPr>
              <w:pStyle w:val="2"/>
              <w:rPr>
                <w:sz w:val="21"/>
                <w:szCs w:val="21"/>
              </w:rPr>
            </w:pPr>
            <w:r>
              <w:rPr>
                <w:sz w:val="21"/>
                <w:szCs w:val="21"/>
              </w:rPr>
              <w:t>2、</w:t>
            </w:r>
            <w:r>
              <w:rPr>
                <w:rFonts w:ascii="Arial" w:hAnsi="Arial" w:eastAsia="等线" w:cs="Arial"/>
                <w:sz w:val="21"/>
                <w:szCs w:val="21"/>
              </w:rPr>
              <w:t>独立排队人数达到</w:t>
            </w:r>
            <w:r>
              <w:rPr>
                <w:rFonts w:hint="eastAsia" w:ascii="Arial" w:hAnsi="Arial" w:eastAsia="等线" w:cs="Arial"/>
                <w:sz w:val="21"/>
                <w:szCs w:val="21"/>
              </w:rPr>
              <w:t>设定</w:t>
            </w:r>
            <w:r>
              <w:rPr>
                <w:rFonts w:ascii="Arial" w:hAnsi="Arial" w:eastAsia="等线" w:cs="Arial"/>
                <w:sz w:val="21"/>
                <w:szCs w:val="21"/>
              </w:rPr>
              <w:t>上限后，后续客户</w:t>
            </w:r>
            <w:r>
              <w:rPr>
                <w:rFonts w:hint="eastAsia" w:ascii="Arial" w:hAnsi="Arial" w:eastAsia="等线" w:cs="Arial"/>
                <w:sz w:val="21"/>
                <w:szCs w:val="21"/>
              </w:rPr>
              <w:t>系统</w:t>
            </w:r>
            <w:r>
              <w:rPr>
                <w:rFonts w:ascii="Arial" w:hAnsi="Arial" w:eastAsia="等线" w:cs="Arial"/>
                <w:sz w:val="21"/>
                <w:szCs w:val="21"/>
              </w:rPr>
              <w:t>自动</w:t>
            </w:r>
            <w:r>
              <w:rPr>
                <w:rFonts w:hint="eastAsia" w:ascii="Arial" w:hAnsi="Arial" w:eastAsia="等线" w:cs="Arial"/>
                <w:sz w:val="21"/>
                <w:szCs w:val="21"/>
              </w:rPr>
              <w:t>导流至</w:t>
            </w:r>
            <w:r>
              <w:rPr>
                <w:rFonts w:ascii="Arial" w:hAnsi="Arial" w:eastAsia="等线" w:cs="Arial"/>
                <w:sz w:val="21"/>
                <w:szCs w:val="21"/>
              </w:rPr>
              <w:t>全流程并行排队</w:t>
            </w:r>
            <w:r>
              <w:rPr>
                <w:rFonts w:hint="eastAsia" w:ascii="Arial" w:hAnsi="Arial" w:eastAsia="等线" w:cs="Arial"/>
                <w:sz w:val="21"/>
                <w:szCs w:val="21"/>
              </w:rPr>
              <w:t>，系统并为其保留虚拟占位队列</w:t>
            </w:r>
            <w:r>
              <w:rPr>
                <w:rFonts w:ascii="Arial" w:hAnsi="Arial" w:eastAsia="等线" w:cs="Arial"/>
                <w:sz w:val="21"/>
                <w:szCs w:val="21"/>
              </w:rPr>
              <w:t>，两个队列相互指引、协同</w:t>
            </w:r>
            <w:r>
              <w:rPr>
                <w:rFonts w:hint="eastAsia" w:ascii="Arial" w:hAnsi="Arial" w:eastAsia="等线" w:cs="Arial"/>
                <w:sz w:val="21"/>
                <w:szCs w:val="21"/>
              </w:rPr>
              <w:t>联动</w:t>
            </w:r>
            <w:r>
              <w:rPr>
                <w:rFonts w:ascii="Arial" w:hAnsi="Arial" w:eastAsia="等线" w:cs="Arial"/>
                <w:sz w:val="21"/>
                <w:szCs w:val="21"/>
              </w:rPr>
              <w:t>运转。</w:t>
            </w:r>
          </w:p>
        </w:tc>
      </w:tr>
      <w:tr w14:paraId="3D1D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1C01AF8B">
            <w:pPr>
              <w:widowControl/>
              <w:jc w:val="center"/>
              <w:rPr>
                <w:rFonts w:hint="eastAsia" w:ascii="宋体" w:hAnsi="宋体" w:cs="宋体"/>
                <w:b/>
                <w:bCs/>
                <w:kern w:val="0"/>
                <w:sz w:val="21"/>
                <w:szCs w:val="21"/>
              </w:rPr>
            </w:pPr>
          </w:p>
        </w:tc>
        <w:tc>
          <w:tcPr>
            <w:tcW w:w="7094" w:type="dxa"/>
            <w:gridSpan w:val="2"/>
          </w:tcPr>
          <w:p w14:paraId="02CC6BAF">
            <w:pPr>
              <w:pStyle w:val="2"/>
              <w:jc w:val="left"/>
              <w:rPr>
                <w:b/>
                <w:bCs/>
                <w:sz w:val="21"/>
                <w:szCs w:val="21"/>
              </w:rPr>
            </w:pPr>
            <w:r>
              <w:rPr>
                <w:rFonts w:hint="eastAsia"/>
                <w:b/>
                <w:bCs/>
                <w:sz w:val="21"/>
                <w:szCs w:val="21"/>
              </w:rPr>
              <w:t>混合排队规则：</w:t>
            </w:r>
          </w:p>
          <w:p w14:paraId="15DFFB5F">
            <w:pPr>
              <w:pStyle w:val="2"/>
              <w:numPr>
                <w:ilvl w:val="0"/>
                <w:numId w:val="1"/>
              </w:numPr>
              <w:jc w:val="left"/>
              <w:rPr>
                <w:sz w:val="21"/>
                <w:szCs w:val="21"/>
              </w:rPr>
            </w:pPr>
            <w:r>
              <w:rPr>
                <w:rFonts w:hint="eastAsia"/>
                <w:sz w:val="21"/>
                <w:szCs w:val="21"/>
              </w:rPr>
              <w:t>指定的瓶颈科室按客户登记顺序独立排成单一队列；</w:t>
            </w:r>
          </w:p>
          <w:p w14:paraId="07B81C2D">
            <w:pPr>
              <w:pStyle w:val="2"/>
              <w:numPr>
                <w:ilvl w:val="0"/>
                <w:numId w:val="1"/>
              </w:numPr>
              <w:jc w:val="left"/>
              <w:rPr>
                <w:sz w:val="21"/>
                <w:szCs w:val="21"/>
              </w:rPr>
            </w:pPr>
            <w:r>
              <w:rPr>
                <w:rFonts w:hint="eastAsia"/>
                <w:sz w:val="21"/>
                <w:szCs w:val="21"/>
              </w:rPr>
              <w:t>非瓶颈科室合并为全流程队列，两个队列互不干扰，并可相互指引；</w:t>
            </w:r>
          </w:p>
        </w:tc>
      </w:tr>
      <w:tr w14:paraId="2DF4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9BFAD79">
            <w:pPr>
              <w:widowControl/>
              <w:jc w:val="center"/>
              <w:rPr>
                <w:rFonts w:hint="eastAsia" w:ascii="宋体" w:hAnsi="宋体" w:cs="宋体"/>
                <w:b/>
                <w:bCs/>
                <w:kern w:val="0"/>
                <w:sz w:val="21"/>
                <w:szCs w:val="21"/>
              </w:rPr>
            </w:pPr>
          </w:p>
        </w:tc>
        <w:tc>
          <w:tcPr>
            <w:tcW w:w="7094" w:type="dxa"/>
            <w:gridSpan w:val="2"/>
          </w:tcPr>
          <w:p w14:paraId="0F91D711">
            <w:pPr>
              <w:pStyle w:val="2"/>
              <w:rPr>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伴随体检规则</w:t>
            </w:r>
            <w:r>
              <w:rPr>
                <w:color w:val="000000" w:themeColor="text1"/>
                <w:sz w:val="21"/>
                <w:szCs w:val="21"/>
                <w14:textFill>
                  <w14:solidFill>
                    <w14:schemeClr w14:val="tx1"/>
                  </w14:solidFill>
                </w14:textFill>
              </w:rPr>
              <w:t>：</w:t>
            </w:r>
          </w:p>
          <w:p w14:paraId="68F4601E">
            <w:pPr>
              <w:pStyle w:val="2"/>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支持</w:t>
            </w:r>
            <w:r>
              <w:rPr>
                <w:color w:val="000000" w:themeColor="text1"/>
                <w:sz w:val="21"/>
                <w:szCs w:val="21"/>
                <w14:textFill>
                  <w14:solidFill>
                    <w14:schemeClr w14:val="tx1"/>
                  </w14:solidFill>
                </w14:textFill>
              </w:rPr>
              <w:t>组队体检，设置领队及伴检人员，伴检人员跟随领队前往同一检查科室，适用于家庭成员伴随体检</w:t>
            </w:r>
            <w:r>
              <w:rPr>
                <w:rFonts w:hint="eastAsia"/>
                <w:color w:val="000000" w:themeColor="text1"/>
                <w:sz w:val="21"/>
                <w:szCs w:val="21"/>
                <w14:textFill>
                  <w14:solidFill>
                    <w14:schemeClr w14:val="tx1"/>
                  </w14:solidFill>
                </w14:textFill>
              </w:rPr>
              <w:t>场景</w:t>
            </w:r>
            <w:r>
              <w:rPr>
                <w:color w:val="000000" w:themeColor="text1"/>
                <w:sz w:val="21"/>
                <w:szCs w:val="21"/>
                <w14:textFill>
                  <w14:solidFill>
                    <w14:schemeClr w14:val="tx1"/>
                  </w14:solidFill>
                </w14:textFill>
              </w:rPr>
              <w:t>；</w:t>
            </w:r>
          </w:p>
          <w:p w14:paraId="796EE281">
            <w:pPr>
              <w:pStyle w:val="2"/>
              <w:jc w:val="left"/>
              <w:rPr>
                <w:color w:val="EE0000"/>
                <w:sz w:val="21"/>
                <w:szCs w:val="21"/>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支持中途更换领队人员以及新增伴随人员；</w:t>
            </w:r>
            <w:r>
              <w:rPr>
                <w:color w:val="000000" w:themeColor="text1"/>
                <w:sz w:val="21"/>
                <w:szCs w:val="21"/>
                <w14:textFill>
                  <w14:solidFill>
                    <w14:schemeClr w14:val="tx1"/>
                  </w14:solidFill>
                </w14:textFill>
              </w:rPr>
              <w:t xml:space="preserve"> </w:t>
            </w:r>
          </w:p>
        </w:tc>
      </w:tr>
      <w:tr w14:paraId="1F56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67C432E5">
            <w:pPr>
              <w:widowControl/>
              <w:jc w:val="center"/>
              <w:rPr>
                <w:rFonts w:hint="eastAsia" w:ascii="宋体" w:hAnsi="宋体" w:cs="宋体"/>
                <w:b/>
                <w:bCs/>
                <w:kern w:val="0"/>
                <w:sz w:val="21"/>
                <w:szCs w:val="21"/>
              </w:rPr>
            </w:pPr>
          </w:p>
        </w:tc>
        <w:tc>
          <w:tcPr>
            <w:tcW w:w="7094" w:type="dxa"/>
            <w:gridSpan w:val="2"/>
          </w:tcPr>
          <w:p w14:paraId="4BD1DEE6">
            <w:pPr>
              <w:pStyle w:val="2"/>
              <w:rPr>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复检</w:t>
            </w:r>
            <w:r>
              <w:rPr>
                <w:rFonts w:hint="eastAsia"/>
                <w:b/>
                <w:bCs/>
                <w:color w:val="000000" w:themeColor="text1"/>
                <w:sz w:val="21"/>
                <w:szCs w:val="21"/>
                <w14:textFill>
                  <w14:solidFill>
                    <w14:schemeClr w14:val="tx1"/>
                  </w14:solidFill>
                </w14:textFill>
              </w:rPr>
              <w:t>规则</w:t>
            </w:r>
            <w:r>
              <w:rPr>
                <w:color w:val="000000" w:themeColor="text1"/>
                <w:sz w:val="21"/>
                <w:szCs w:val="21"/>
                <w14:textFill>
                  <w14:solidFill>
                    <w14:schemeClr w14:val="tx1"/>
                  </w14:solidFill>
                </w14:textFill>
              </w:rPr>
              <w:t>：</w:t>
            </w:r>
          </w:p>
          <w:p w14:paraId="4D610C13">
            <w:pPr>
              <w:pStyle w:val="2"/>
              <w:rPr>
                <w:sz w:val="21"/>
                <w:szCs w:val="21"/>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可定义需复检功能</w:t>
            </w:r>
            <w:r>
              <w:rPr>
                <w:color w:val="000000" w:themeColor="text1"/>
                <w:sz w:val="21"/>
                <w:szCs w:val="21"/>
                <w14:textFill>
                  <w14:solidFill>
                    <w14:schemeClr w14:val="tx1"/>
                  </w14:solidFill>
                </w14:textFill>
              </w:rPr>
              <w:t>科室</w:t>
            </w:r>
            <w:r>
              <w:rPr>
                <w:rFonts w:hint="eastAsia"/>
                <w:color w:val="000000" w:themeColor="text1"/>
                <w:sz w:val="21"/>
                <w:szCs w:val="21"/>
                <w14:textFill>
                  <w14:solidFill>
                    <w14:schemeClr w14:val="tx1"/>
                  </w14:solidFill>
                </w14:textFill>
              </w:rPr>
              <w:t>，</w:t>
            </w:r>
            <w:r>
              <w:rPr>
                <w:sz w:val="21"/>
                <w:szCs w:val="21"/>
              </w:rPr>
              <w:t>如</w:t>
            </w:r>
            <w:r>
              <w:rPr>
                <w:rFonts w:hint="eastAsia"/>
                <w:sz w:val="21"/>
                <w:szCs w:val="21"/>
              </w:rPr>
              <w:t>：</w:t>
            </w:r>
            <w:r>
              <w:rPr>
                <w:sz w:val="21"/>
                <w:szCs w:val="21"/>
              </w:rPr>
              <w:t>B超需要憋尿，等憋尿后</w:t>
            </w:r>
            <w:r>
              <w:rPr>
                <w:rFonts w:hint="eastAsia"/>
                <w:sz w:val="21"/>
                <w:szCs w:val="21"/>
              </w:rPr>
              <w:t>复查</w:t>
            </w:r>
            <w:r>
              <w:rPr>
                <w:sz w:val="21"/>
                <w:szCs w:val="21"/>
              </w:rPr>
              <w:t>；</w:t>
            </w:r>
          </w:p>
          <w:p w14:paraId="1F190BAC">
            <w:pPr>
              <w:pStyle w:val="2"/>
              <w:jc w:val="left"/>
              <w:rPr>
                <w:sz w:val="21"/>
                <w:szCs w:val="21"/>
              </w:rPr>
            </w:pPr>
            <w:r>
              <w:rPr>
                <w:sz w:val="21"/>
                <w:szCs w:val="21"/>
              </w:rPr>
              <w:t xml:space="preserve">2、 </w:t>
            </w:r>
            <w:r>
              <w:rPr>
                <w:rFonts w:hint="eastAsia"/>
                <w:sz w:val="21"/>
                <w:szCs w:val="21"/>
              </w:rPr>
              <w:t>通过</w:t>
            </w:r>
            <w:r>
              <w:rPr>
                <w:sz w:val="21"/>
                <w:szCs w:val="21"/>
              </w:rPr>
              <w:t>自助</w:t>
            </w:r>
            <w:r>
              <w:rPr>
                <w:rFonts w:hint="eastAsia"/>
                <w:sz w:val="21"/>
                <w:szCs w:val="21"/>
              </w:rPr>
              <w:t>查询</w:t>
            </w:r>
            <w:r>
              <w:rPr>
                <w:sz w:val="21"/>
                <w:szCs w:val="21"/>
              </w:rPr>
              <w:t>机、导检</w:t>
            </w:r>
            <w:r>
              <w:rPr>
                <w:rFonts w:hint="eastAsia"/>
                <w:sz w:val="21"/>
                <w:szCs w:val="21"/>
              </w:rPr>
              <w:t>护士端</w:t>
            </w:r>
            <w:r>
              <w:rPr>
                <w:sz w:val="21"/>
                <w:szCs w:val="21"/>
              </w:rPr>
              <w:t>、</w:t>
            </w:r>
            <w:r>
              <w:rPr>
                <w:rFonts w:hint="eastAsia"/>
                <w:sz w:val="21"/>
                <w:szCs w:val="21"/>
              </w:rPr>
              <w:t>导检</w:t>
            </w:r>
            <w:r>
              <w:rPr>
                <w:sz w:val="21"/>
                <w:szCs w:val="21"/>
              </w:rPr>
              <w:t>微信</w:t>
            </w:r>
            <w:r>
              <w:rPr>
                <w:rFonts w:hint="eastAsia"/>
                <w:sz w:val="21"/>
                <w:szCs w:val="21"/>
              </w:rPr>
              <w:t>端</w:t>
            </w:r>
            <w:r>
              <w:rPr>
                <w:sz w:val="21"/>
                <w:szCs w:val="21"/>
              </w:rPr>
              <w:t>、带扫描的显示综合屏等多种途径</w:t>
            </w:r>
            <w:r>
              <w:rPr>
                <w:rFonts w:hint="eastAsia"/>
                <w:sz w:val="21"/>
                <w:szCs w:val="21"/>
              </w:rPr>
              <w:t>解锁复检人员，复检人员可插队进入对应科室队列，插队位置可</w:t>
            </w:r>
            <w:r>
              <w:rPr>
                <w:sz w:val="21"/>
                <w:szCs w:val="21"/>
              </w:rPr>
              <w:t>自定义</w:t>
            </w:r>
            <w:r>
              <w:rPr>
                <w:rFonts w:hint="eastAsia"/>
                <w:sz w:val="21"/>
                <w:szCs w:val="21"/>
              </w:rPr>
              <w:t>；</w:t>
            </w:r>
          </w:p>
          <w:p w14:paraId="1EE18600">
            <w:pPr>
              <w:pStyle w:val="2"/>
              <w:rPr>
                <w:sz w:val="21"/>
                <w:szCs w:val="21"/>
              </w:rPr>
            </w:pPr>
            <w:r>
              <w:rPr>
                <w:sz w:val="21"/>
                <w:szCs w:val="21"/>
              </w:rPr>
              <w:t xml:space="preserve">3、忘记复检的客户，完成最后一项检查后， </w:t>
            </w:r>
            <w:r>
              <w:rPr>
                <w:rFonts w:hint="eastAsia"/>
                <w:sz w:val="21"/>
                <w:szCs w:val="21"/>
              </w:rPr>
              <w:t>系统</w:t>
            </w:r>
            <w:r>
              <w:rPr>
                <w:sz w:val="21"/>
                <w:szCs w:val="21"/>
              </w:rPr>
              <w:t>自动按照复检规则返回</w:t>
            </w:r>
            <w:r>
              <w:rPr>
                <w:rFonts w:hint="eastAsia"/>
                <w:sz w:val="21"/>
                <w:szCs w:val="21"/>
              </w:rPr>
              <w:t>对应</w:t>
            </w:r>
            <w:r>
              <w:rPr>
                <w:sz w:val="21"/>
                <w:szCs w:val="21"/>
              </w:rPr>
              <w:t>科室</w:t>
            </w:r>
            <w:r>
              <w:rPr>
                <w:rFonts w:hint="eastAsia"/>
                <w:sz w:val="21"/>
                <w:szCs w:val="21"/>
              </w:rPr>
              <w:t>；</w:t>
            </w:r>
          </w:p>
          <w:p w14:paraId="6CE16E6E">
            <w:pPr>
              <w:pStyle w:val="2"/>
              <w:jc w:val="left"/>
              <w:rPr>
                <w:b/>
                <w:bCs/>
                <w:color w:val="000000" w:themeColor="text1"/>
                <w:sz w:val="21"/>
                <w:szCs w:val="21"/>
                <w14:textFill>
                  <w14:solidFill>
                    <w14:schemeClr w14:val="tx1"/>
                  </w14:solidFill>
                </w14:textFill>
              </w:rPr>
            </w:pPr>
            <w:r>
              <w:rPr>
                <w:sz w:val="21"/>
                <w:szCs w:val="21"/>
              </w:rPr>
              <w:t>4、</w:t>
            </w:r>
            <w:r>
              <w:rPr>
                <w:rFonts w:hint="eastAsia"/>
                <w:sz w:val="21"/>
                <w:szCs w:val="21"/>
              </w:rPr>
              <w:t>可</w:t>
            </w:r>
            <w:r>
              <w:rPr>
                <w:sz w:val="21"/>
                <w:szCs w:val="21"/>
              </w:rPr>
              <w:t>设置复检间隔时间，达到时间后优先返回复检科室</w:t>
            </w:r>
            <w:r>
              <w:rPr>
                <w:rFonts w:hint="eastAsia"/>
                <w:sz w:val="21"/>
                <w:szCs w:val="21"/>
              </w:rPr>
              <w:t>队列；</w:t>
            </w:r>
          </w:p>
        </w:tc>
      </w:tr>
      <w:tr w14:paraId="10D3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Merge w:val="continue"/>
            <w:vAlign w:val="center"/>
          </w:tcPr>
          <w:p w14:paraId="0295F7FF">
            <w:pPr>
              <w:widowControl/>
              <w:jc w:val="center"/>
              <w:rPr>
                <w:rFonts w:hint="eastAsia" w:ascii="宋体" w:hAnsi="宋体" w:cs="宋体"/>
                <w:b/>
                <w:bCs/>
                <w:kern w:val="0"/>
                <w:sz w:val="21"/>
                <w:szCs w:val="21"/>
              </w:rPr>
            </w:pPr>
          </w:p>
        </w:tc>
        <w:tc>
          <w:tcPr>
            <w:tcW w:w="7094" w:type="dxa"/>
            <w:gridSpan w:val="2"/>
          </w:tcPr>
          <w:p w14:paraId="2038C624">
            <w:pPr>
              <w:pStyle w:val="2"/>
              <w:rPr>
                <w:sz w:val="21"/>
                <w:szCs w:val="21"/>
              </w:rPr>
            </w:pPr>
            <w:r>
              <w:rPr>
                <w:rFonts w:hint="eastAsia"/>
                <w:b/>
                <w:bCs/>
                <w:sz w:val="21"/>
                <w:szCs w:val="21"/>
              </w:rPr>
              <w:t>指定项目</w:t>
            </w:r>
            <w:r>
              <w:rPr>
                <w:b/>
                <w:bCs/>
                <w:sz w:val="21"/>
                <w:szCs w:val="21"/>
              </w:rPr>
              <w:t>预警</w:t>
            </w:r>
            <w:r>
              <w:rPr>
                <w:rFonts w:hint="eastAsia"/>
                <w:b/>
                <w:bCs/>
                <w:sz w:val="21"/>
                <w:szCs w:val="21"/>
              </w:rPr>
              <w:t>提醒规则</w:t>
            </w:r>
            <w:r>
              <w:rPr>
                <w:b/>
                <w:bCs/>
                <w:sz w:val="21"/>
                <w:szCs w:val="21"/>
              </w:rPr>
              <w:t>：</w:t>
            </w:r>
          </w:p>
          <w:p w14:paraId="3D161AA3">
            <w:pPr>
              <w:pStyle w:val="2"/>
              <w:rPr>
                <w:sz w:val="21"/>
                <w:szCs w:val="21"/>
              </w:rPr>
            </w:pPr>
            <w:r>
              <w:rPr>
                <w:sz w:val="21"/>
                <w:szCs w:val="21"/>
              </w:rPr>
              <w:t xml:space="preserve">1、 </w:t>
            </w:r>
            <w:r>
              <w:rPr>
                <w:rFonts w:hint="eastAsia"/>
                <w:sz w:val="21"/>
                <w:szCs w:val="21"/>
              </w:rPr>
              <w:t>针对当日登记人员含有指定项目，当达到预设预警人数时，系统及时提醒，如：彩超、CT当日只能做50人，超过50人时系统及时提醒，并可通知体检系统在导引单上进行标注提示；</w:t>
            </w:r>
          </w:p>
          <w:p w14:paraId="1408A49A">
            <w:pPr>
              <w:pStyle w:val="2"/>
              <w:rPr>
                <w:sz w:val="21"/>
                <w:szCs w:val="21"/>
              </w:rPr>
            </w:pPr>
            <w:r>
              <w:rPr>
                <w:sz w:val="21"/>
                <w:szCs w:val="21"/>
              </w:rPr>
              <w:t>2、 触发预警后</w:t>
            </w:r>
            <w:r>
              <w:rPr>
                <w:rFonts w:hint="eastAsia"/>
                <w:sz w:val="21"/>
                <w:szCs w:val="21"/>
              </w:rPr>
              <w:t>，新</w:t>
            </w:r>
            <w:r>
              <w:rPr>
                <w:sz w:val="21"/>
                <w:szCs w:val="21"/>
              </w:rPr>
              <w:t>登记</w:t>
            </w:r>
            <w:r>
              <w:rPr>
                <w:rFonts w:hint="eastAsia"/>
                <w:sz w:val="21"/>
                <w:szCs w:val="21"/>
              </w:rPr>
              <w:t>含有该指定项目的客户，可选择</w:t>
            </w:r>
            <w:r>
              <w:rPr>
                <w:sz w:val="21"/>
                <w:szCs w:val="21"/>
              </w:rPr>
              <w:t>改期检查；</w:t>
            </w:r>
          </w:p>
          <w:p w14:paraId="4E5793F4">
            <w:pPr>
              <w:pStyle w:val="2"/>
              <w:jc w:val="left"/>
              <w:rPr>
                <w:rFonts w:hint="eastAsia" w:ascii="宋体" w:hAnsi="宋体" w:cs="宋体"/>
                <w:color w:val="000000"/>
                <w:kern w:val="0"/>
                <w:sz w:val="21"/>
                <w:szCs w:val="21"/>
              </w:rPr>
            </w:pPr>
            <w:r>
              <w:rPr>
                <w:sz w:val="21"/>
                <w:szCs w:val="21"/>
              </w:rPr>
              <w:t xml:space="preserve">3、 </w:t>
            </w:r>
            <w:r>
              <w:rPr>
                <w:rFonts w:hint="eastAsia"/>
                <w:sz w:val="21"/>
                <w:szCs w:val="21"/>
              </w:rPr>
              <w:t>超出预警人数后，可灵活设置该指定项目是否允许新客户加入该导检队列；</w:t>
            </w:r>
            <w:r>
              <w:rPr>
                <w:rFonts w:hint="eastAsia" w:ascii="宋体" w:hAnsi="宋体" w:cs="宋体"/>
                <w:color w:val="000000"/>
                <w:kern w:val="0"/>
                <w:sz w:val="21"/>
                <w:szCs w:val="21"/>
              </w:rPr>
              <w:t xml:space="preserve"> </w:t>
            </w:r>
          </w:p>
        </w:tc>
      </w:tr>
      <w:tr w14:paraId="4C34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1" w:type="dxa"/>
          <w:trHeight w:val="0" w:hRule="atLeast"/>
          <w:jc w:val="center"/>
        </w:trPr>
        <w:tc>
          <w:tcPr>
            <w:tcW w:w="1306" w:type="dxa"/>
            <w:gridSpan w:val="2"/>
            <w:vAlign w:val="center"/>
          </w:tcPr>
          <w:p w14:paraId="60932EC6">
            <w:pPr>
              <w:widowControl/>
              <w:jc w:val="center"/>
              <w:rPr>
                <w:rFonts w:hint="eastAsia" w:ascii="宋体" w:hAnsi="宋体" w:cs="宋体"/>
                <w:b/>
                <w:bCs/>
                <w:kern w:val="0"/>
                <w:sz w:val="21"/>
                <w:szCs w:val="21"/>
              </w:rPr>
            </w:pPr>
            <w:r>
              <w:rPr>
                <w:rFonts w:hint="eastAsia" w:ascii="宋体" w:hAnsi="宋体" w:cs="宋体"/>
                <w:b/>
                <w:bCs/>
                <w:kern w:val="0"/>
                <w:sz w:val="21"/>
                <w:szCs w:val="21"/>
              </w:rPr>
              <w:t>开放兼容</w:t>
            </w:r>
          </w:p>
        </w:tc>
        <w:tc>
          <w:tcPr>
            <w:tcW w:w="7094" w:type="dxa"/>
            <w:gridSpan w:val="2"/>
          </w:tcPr>
          <w:p w14:paraId="09763DF2">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1、提供第三方系统接口</w:t>
            </w:r>
            <w:r>
              <w:rPr>
                <w:rFonts w:ascii="宋体" w:hAnsi="宋体" w:cs="宋体"/>
                <w:color w:val="000000"/>
                <w:kern w:val="0"/>
                <w:sz w:val="21"/>
                <w:szCs w:val="21"/>
              </w:rPr>
              <w:t>，实时</w:t>
            </w:r>
            <w:r>
              <w:rPr>
                <w:rFonts w:hint="eastAsia" w:ascii="宋体" w:hAnsi="宋体" w:cs="宋体"/>
                <w:color w:val="000000"/>
                <w:kern w:val="0"/>
                <w:sz w:val="21"/>
                <w:szCs w:val="21"/>
              </w:rPr>
              <w:t>同步</w:t>
            </w:r>
            <w:r>
              <w:rPr>
                <w:rFonts w:ascii="宋体" w:hAnsi="宋体" w:cs="宋体"/>
                <w:color w:val="000000"/>
                <w:kern w:val="0"/>
                <w:sz w:val="21"/>
                <w:szCs w:val="21"/>
              </w:rPr>
              <w:t>体检</w:t>
            </w:r>
            <w:r>
              <w:rPr>
                <w:rFonts w:hint="eastAsia" w:ascii="宋体" w:hAnsi="宋体" w:cs="宋体"/>
                <w:color w:val="000000"/>
                <w:kern w:val="0"/>
                <w:sz w:val="21"/>
                <w:szCs w:val="21"/>
              </w:rPr>
              <w:t>客户本次体检数</w:t>
            </w:r>
            <w:r>
              <w:rPr>
                <w:rFonts w:ascii="宋体" w:hAnsi="宋体" w:cs="宋体"/>
                <w:color w:val="000000"/>
                <w:kern w:val="0"/>
                <w:sz w:val="21"/>
                <w:szCs w:val="21"/>
              </w:rPr>
              <w:t>据，</w:t>
            </w:r>
            <w:r>
              <w:rPr>
                <w:rFonts w:hint="eastAsia" w:ascii="宋体" w:hAnsi="宋体" w:cs="宋体"/>
                <w:color w:val="000000"/>
                <w:kern w:val="0"/>
                <w:sz w:val="21"/>
                <w:szCs w:val="21"/>
              </w:rPr>
              <w:t>使客户及时纳入导检系统闭环管理范畴；</w:t>
            </w:r>
          </w:p>
          <w:p w14:paraId="7F3FC34D">
            <w:pPr>
              <w:widowControl/>
              <w:jc w:val="left"/>
              <w:rPr>
                <w:rFonts w:hint="eastAsia" w:ascii="宋体" w:hAnsi="宋体" w:cs="宋体"/>
                <w:color w:val="000000"/>
                <w:sz w:val="21"/>
                <w:szCs w:val="21"/>
              </w:rPr>
            </w:pPr>
            <w:r>
              <w:rPr>
                <w:rFonts w:hint="eastAsia" w:ascii="宋体" w:hAnsi="宋体" w:cs="宋体"/>
                <w:color w:val="000000"/>
                <w:kern w:val="0"/>
                <w:sz w:val="21"/>
                <w:szCs w:val="21"/>
              </w:rPr>
              <w:t>2、多种报道</w:t>
            </w:r>
            <w:r>
              <w:rPr>
                <w:rFonts w:ascii="宋体" w:hAnsi="宋体" w:cs="宋体"/>
                <w:color w:val="000000"/>
                <w:kern w:val="0"/>
                <w:sz w:val="21"/>
                <w:szCs w:val="21"/>
              </w:rPr>
              <w:t>登记方式：</w:t>
            </w:r>
            <w:r>
              <w:rPr>
                <w:rFonts w:hint="eastAsia" w:ascii="宋体" w:hAnsi="宋体" w:cs="宋体"/>
                <w:color w:val="000000"/>
                <w:kern w:val="0"/>
                <w:sz w:val="21"/>
                <w:szCs w:val="21"/>
              </w:rPr>
              <w:t>体检</w:t>
            </w:r>
            <w:r>
              <w:rPr>
                <w:rFonts w:ascii="宋体" w:hAnsi="宋体" w:cs="宋体"/>
                <w:color w:val="000000"/>
                <w:kern w:val="0"/>
                <w:sz w:val="21"/>
                <w:szCs w:val="21"/>
              </w:rPr>
              <w:t>导检台</w:t>
            </w:r>
            <w:r>
              <w:rPr>
                <w:rFonts w:hint="eastAsia" w:ascii="宋体" w:hAnsi="宋体" w:cs="宋体"/>
                <w:color w:val="000000"/>
                <w:kern w:val="0"/>
                <w:sz w:val="21"/>
                <w:szCs w:val="21"/>
              </w:rPr>
              <w:t>人工</w:t>
            </w:r>
            <w:r>
              <w:rPr>
                <w:rFonts w:ascii="宋体" w:hAnsi="宋体" w:cs="宋体"/>
                <w:color w:val="000000"/>
                <w:kern w:val="0"/>
                <w:sz w:val="21"/>
                <w:szCs w:val="21"/>
              </w:rPr>
              <w:t xml:space="preserve">登记； </w:t>
            </w:r>
            <w:r>
              <w:rPr>
                <w:rFonts w:hint="eastAsia" w:ascii="宋体" w:hAnsi="宋体" w:cs="宋体"/>
                <w:color w:val="000000"/>
                <w:kern w:val="0"/>
                <w:sz w:val="21"/>
                <w:szCs w:val="21"/>
              </w:rPr>
              <w:t>体检</w:t>
            </w:r>
            <w:r>
              <w:rPr>
                <w:rFonts w:ascii="宋体" w:hAnsi="宋体" w:cs="宋体"/>
                <w:color w:val="000000"/>
                <w:kern w:val="0"/>
                <w:sz w:val="21"/>
                <w:szCs w:val="21"/>
              </w:rPr>
              <w:t>自助机</w:t>
            </w:r>
            <w:r>
              <w:rPr>
                <w:rFonts w:hint="eastAsia" w:ascii="宋体" w:hAnsi="宋体" w:cs="宋体"/>
                <w:color w:val="000000"/>
                <w:kern w:val="0"/>
                <w:sz w:val="21"/>
                <w:szCs w:val="21"/>
              </w:rPr>
              <w:t>自助报道，可实时返回首检科室信息，并支持打印到体检导引单</w:t>
            </w:r>
            <w:r>
              <w:rPr>
                <w:rFonts w:ascii="宋体" w:hAnsi="宋体" w:cs="宋体"/>
                <w:color w:val="000000"/>
                <w:kern w:val="0"/>
                <w:sz w:val="21"/>
                <w:szCs w:val="21"/>
              </w:rPr>
              <w:t>；</w:t>
            </w:r>
          </w:p>
        </w:tc>
      </w:tr>
      <w:tr w14:paraId="0B2B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restart"/>
            <w:vAlign w:val="center"/>
          </w:tcPr>
          <w:p w14:paraId="1928FD07">
            <w:pPr>
              <w:jc w:val="center"/>
              <w:rPr>
                <w:rFonts w:hint="eastAsia" w:ascii="宋体" w:hAnsi="宋体" w:cs="宋体"/>
                <w:b/>
                <w:bCs/>
                <w:color w:val="000000"/>
                <w:sz w:val="21"/>
                <w:szCs w:val="21"/>
              </w:rPr>
            </w:pPr>
          </w:p>
          <w:p w14:paraId="16C95708">
            <w:pPr>
              <w:jc w:val="center"/>
              <w:rPr>
                <w:rFonts w:hint="eastAsia" w:ascii="宋体" w:hAnsi="宋体" w:cs="宋体"/>
                <w:b/>
                <w:bCs/>
                <w:color w:val="000000"/>
                <w:sz w:val="21"/>
                <w:szCs w:val="21"/>
              </w:rPr>
            </w:pPr>
          </w:p>
          <w:p w14:paraId="315292FF">
            <w:pPr>
              <w:jc w:val="center"/>
              <w:rPr>
                <w:rFonts w:hint="eastAsia" w:ascii="宋体" w:hAnsi="宋体" w:cs="宋体"/>
                <w:b/>
                <w:bCs/>
                <w:color w:val="000000"/>
                <w:sz w:val="21"/>
                <w:szCs w:val="21"/>
              </w:rPr>
            </w:pPr>
          </w:p>
          <w:p w14:paraId="1FFC60F8">
            <w:pPr>
              <w:jc w:val="center"/>
              <w:rPr>
                <w:rFonts w:hint="eastAsia" w:ascii="宋体" w:hAnsi="宋体" w:cs="宋体"/>
                <w:b/>
                <w:bCs/>
                <w:color w:val="000000"/>
                <w:sz w:val="21"/>
                <w:szCs w:val="21"/>
              </w:rPr>
            </w:pPr>
          </w:p>
          <w:p w14:paraId="646EAAEA">
            <w:pPr>
              <w:jc w:val="center"/>
              <w:rPr>
                <w:rFonts w:hint="eastAsia" w:ascii="宋体" w:hAnsi="宋体" w:cs="宋体"/>
                <w:b/>
                <w:bCs/>
                <w:color w:val="000000"/>
                <w:sz w:val="21"/>
                <w:szCs w:val="21"/>
              </w:rPr>
            </w:pPr>
          </w:p>
          <w:p w14:paraId="2877AFA6">
            <w:pPr>
              <w:jc w:val="center"/>
              <w:rPr>
                <w:rFonts w:hint="eastAsia" w:ascii="宋体" w:hAnsi="宋体" w:cs="宋体"/>
                <w:b/>
                <w:bCs/>
                <w:color w:val="000000"/>
                <w:sz w:val="21"/>
                <w:szCs w:val="21"/>
              </w:rPr>
            </w:pPr>
          </w:p>
          <w:p w14:paraId="137EE2E4">
            <w:pPr>
              <w:jc w:val="center"/>
              <w:rPr>
                <w:rFonts w:hint="eastAsia" w:ascii="宋体" w:hAnsi="宋体" w:cs="宋体"/>
                <w:b/>
                <w:bCs/>
                <w:color w:val="000000"/>
                <w:sz w:val="21"/>
                <w:szCs w:val="21"/>
              </w:rPr>
            </w:pPr>
          </w:p>
          <w:p w14:paraId="1E5AA4A1">
            <w:pPr>
              <w:jc w:val="center"/>
              <w:rPr>
                <w:rFonts w:hint="eastAsia" w:ascii="宋体" w:hAnsi="宋体" w:cs="宋体"/>
                <w:b/>
                <w:bCs/>
                <w:color w:val="000000"/>
                <w:sz w:val="21"/>
                <w:szCs w:val="21"/>
              </w:rPr>
            </w:pPr>
            <w:r>
              <w:rPr>
                <w:rFonts w:hint="eastAsia" w:ascii="宋体" w:hAnsi="宋体" w:cs="宋体"/>
                <w:b/>
                <w:bCs/>
                <w:color w:val="000000"/>
                <w:sz w:val="21"/>
                <w:szCs w:val="21"/>
              </w:rPr>
              <w:t>微信导检</w:t>
            </w:r>
          </w:p>
        </w:tc>
        <w:tc>
          <w:tcPr>
            <w:tcW w:w="7094" w:type="dxa"/>
            <w:gridSpan w:val="2"/>
          </w:tcPr>
          <w:p w14:paraId="166A6831">
            <w:pPr>
              <w:rPr>
                <w:rFonts w:hint="eastAsia" w:ascii="宋体" w:hAnsi="宋体" w:cs="宋体"/>
                <w:color w:val="000000"/>
                <w:sz w:val="21"/>
                <w:szCs w:val="21"/>
              </w:rPr>
            </w:pPr>
            <w:r>
              <w:rPr>
                <w:rFonts w:hint="eastAsia" w:ascii="宋体" w:hAnsi="宋体" w:cs="宋体"/>
                <w:color w:val="000000"/>
                <w:sz w:val="21"/>
                <w:szCs w:val="21"/>
              </w:rPr>
              <w:t>支持通过体检号、身份证号等信息绑定微信导检功能；</w:t>
            </w:r>
          </w:p>
        </w:tc>
      </w:tr>
      <w:tr w14:paraId="4802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0FD76106">
            <w:pPr>
              <w:jc w:val="center"/>
              <w:rPr>
                <w:rFonts w:hint="eastAsia" w:ascii="宋体" w:hAnsi="宋体" w:cs="宋体"/>
                <w:color w:val="000000"/>
                <w:sz w:val="21"/>
                <w:szCs w:val="21"/>
              </w:rPr>
            </w:pPr>
          </w:p>
        </w:tc>
        <w:tc>
          <w:tcPr>
            <w:tcW w:w="7094" w:type="dxa"/>
            <w:gridSpan w:val="2"/>
          </w:tcPr>
          <w:p w14:paraId="54B1E74A">
            <w:pPr>
              <w:rPr>
                <w:rFonts w:hint="eastAsia" w:ascii="宋体" w:hAnsi="宋体" w:cs="宋体"/>
                <w:color w:val="000000"/>
                <w:sz w:val="21"/>
                <w:szCs w:val="21"/>
              </w:rPr>
            </w:pPr>
            <w:r>
              <w:rPr>
                <w:rFonts w:hint="eastAsia" w:ascii="宋体" w:hAnsi="宋体" w:cs="宋体"/>
                <w:color w:val="000000"/>
                <w:sz w:val="21"/>
                <w:szCs w:val="21"/>
              </w:rPr>
              <w:t>绑定后，系统自动根据体检号生成专属条形码；</w:t>
            </w:r>
          </w:p>
        </w:tc>
      </w:tr>
      <w:tr w14:paraId="1571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1AD0DFCE">
            <w:pPr>
              <w:jc w:val="center"/>
              <w:rPr>
                <w:rFonts w:hint="eastAsia" w:ascii="宋体" w:hAnsi="宋体" w:cs="宋体"/>
                <w:color w:val="000000"/>
                <w:sz w:val="21"/>
                <w:szCs w:val="21"/>
              </w:rPr>
            </w:pPr>
          </w:p>
        </w:tc>
        <w:tc>
          <w:tcPr>
            <w:tcW w:w="7094" w:type="dxa"/>
            <w:gridSpan w:val="2"/>
          </w:tcPr>
          <w:p w14:paraId="5A2696BC">
            <w:pPr>
              <w:rPr>
                <w:rFonts w:hint="eastAsia" w:ascii="宋体" w:hAnsi="宋体" w:cs="宋体"/>
                <w:color w:val="000000"/>
                <w:sz w:val="21"/>
                <w:szCs w:val="21"/>
              </w:rPr>
            </w:pPr>
            <w:r>
              <w:rPr>
                <w:rFonts w:hint="eastAsia" w:ascii="宋体" w:hAnsi="宋体" w:cs="宋体"/>
                <w:color w:val="000000"/>
                <w:sz w:val="21"/>
                <w:szCs w:val="21"/>
              </w:rPr>
              <w:t>客户身份证号等敏感信息脱敏展示，保障客户隐私信息及安全；</w:t>
            </w:r>
          </w:p>
        </w:tc>
      </w:tr>
      <w:tr w14:paraId="2E41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680C5C80">
            <w:pPr>
              <w:jc w:val="center"/>
              <w:rPr>
                <w:rFonts w:hint="eastAsia" w:ascii="宋体" w:hAnsi="宋体" w:cs="宋体"/>
                <w:color w:val="000000"/>
                <w:sz w:val="21"/>
                <w:szCs w:val="21"/>
              </w:rPr>
            </w:pPr>
          </w:p>
        </w:tc>
        <w:tc>
          <w:tcPr>
            <w:tcW w:w="7094" w:type="dxa"/>
            <w:gridSpan w:val="2"/>
          </w:tcPr>
          <w:p w14:paraId="3D457FBB">
            <w:pPr>
              <w:rPr>
                <w:rFonts w:hint="eastAsia" w:ascii="宋体" w:hAnsi="宋体" w:cs="宋体"/>
                <w:color w:val="000000"/>
                <w:sz w:val="21"/>
                <w:szCs w:val="21"/>
              </w:rPr>
            </w:pPr>
            <w:r>
              <w:rPr>
                <w:rFonts w:hint="eastAsia" w:ascii="宋体" w:hAnsi="宋体" w:cs="宋体"/>
                <w:color w:val="000000"/>
                <w:sz w:val="21"/>
                <w:szCs w:val="21"/>
              </w:rPr>
              <w:t>支持客户自行解除微信导检绑定；</w:t>
            </w:r>
          </w:p>
        </w:tc>
      </w:tr>
      <w:tr w14:paraId="1941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734A1674">
            <w:pPr>
              <w:jc w:val="center"/>
              <w:rPr>
                <w:rFonts w:hint="eastAsia" w:ascii="宋体" w:hAnsi="宋体" w:cs="宋体"/>
                <w:color w:val="000000"/>
                <w:sz w:val="21"/>
                <w:szCs w:val="21"/>
              </w:rPr>
            </w:pPr>
          </w:p>
        </w:tc>
        <w:tc>
          <w:tcPr>
            <w:tcW w:w="7094" w:type="dxa"/>
            <w:gridSpan w:val="2"/>
          </w:tcPr>
          <w:p w14:paraId="7C4C6163">
            <w:pPr>
              <w:rPr>
                <w:rFonts w:hint="eastAsia" w:ascii="宋体" w:hAnsi="宋体" w:cs="宋体"/>
                <w:color w:val="000000"/>
                <w:sz w:val="21"/>
                <w:szCs w:val="21"/>
              </w:rPr>
            </w:pPr>
            <w:r>
              <w:rPr>
                <w:rFonts w:hint="eastAsia" w:ascii="宋体" w:hAnsi="宋体" w:cs="宋体"/>
                <w:color w:val="000000"/>
                <w:sz w:val="21"/>
                <w:szCs w:val="21"/>
              </w:rPr>
              <w:t>可实时查看当前检查科室、排队位置、未检项目等信息，全程实时智能指引；</w:t>
            </w:r>
          </w:p>
        </w:tc>
      </w:tr>
      <w:tr w14:paraId="45E8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48DB58E5">
            <w:pPr>
              <w:widowControl/>
              <w:jc w:val="center"/>
              <w:rPr>
                <w:rFonts w:hint="eastAsia" w:ascii="宋体" w:hAnsi="宋体" w:cs="宋体"/>
                <w:kern w:val="0"/>
                <w:sz w:val="21"/>
                <w:szCs w:val="21"/>
              </w:rPr>
            </w:pPr>
          </w:p>
        </w:tc>
        <w:tc>
          <w:tcPr>
            <w:tcW w:w="7094" w:type="dxa"/>
            <w:gridSpan w:val="2"/>
          </w:tcPr>
          <w:p w14:paraId="21EE16AB">
            <w:pPr>
              <w:rPr>
                <w:rFonts w:hint="eastAsia" w:ascii="宋体" w:hAnsi="宋体" w:cs="宋体"/>
                <w:kern w:val="0"/>
                <w:sz w:val="21"/>
                <w:szCs w:val="21"/>
              </w:rPr>
            </w:pPr>
            <w:r>
              <w:rPr>
                <w:rFonts w:hint="eastAsia" w:ascii="宋体" w:hAnsi="宋体" w:cs="宋体"/>
                <w:color w:val="000000"/>
                <w:sz w:val="21"/>
                <w:szCs w:val="21"/>
              </w:rPr>
              <w:t>支持通过手机微信，进行导检过程信息提示，以及即将就检科室的提醒；</w:t>
            </w:r>
          </w:p>
        </w:tc>
      </w:tr>
      <w:tr w14:paraId="032C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0140B633">
            <w:pPr>
              <w:widowControl/>
              <w:jc w:val="center"/>
              <w:rPr>
                <w:rFonts w:hint="eastAsia" w:ascii="宋体" w:hAnsi="宋体" w:cs="宋体"/>
                <w:kern w:val="0"/>
                <w:sz w:val="21"/>
                <w:szCs w:val="21"/>
              </w:rPr>
            </w:pPr>
          </w:p>
        </w:tc>
        <w:tc>
          <w:tcPr>
            <w:tcW w:w="7094" w:type="dxa"/>
            <w:gridSpan w:val="2"/>
          </w:tcPr>
          <w:p w14:paraId="2A9A794D">
            <w:pPr>
              <w:rPr>
                <w:rFonts w:hint="eastAsia" w:ascii="宋体" w:hAnsi="宋体" w:cs="宋体"/>
                <w:kern w:val="0"/>
                <w:sz w:val="21"/>
                <w:szCs w:val="21"/>
              </w:rPr>
            </w:pPr>
            <w:r>
              <w:rPr>
                <w:rFonts w:hint="eastAsia" w:ascii="宋体" w:hAnsi="宋体" w:cs="宋体"/>
                <w:color w:val="000000"/>
                <w:sz w:val="21"/>
                <w:szCs w:val="21"/>
              </w:rPr>
              <w:t>手机微信端可显示体检客户的基本信息、已检项目、未检项目；</w:t>
            </w:r>
          </w:p>
        </w:tc>
      </w:tr>
      <w:tr w14:paraId="2966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56132F59">
            <w:pPr>
              <w:widowControl/>
              <w:jc w:val="center"/>
              <w:rPr>
                <w:rFonts w:hint="eastAsia" w:ascii="宋体" w:hAnsi="宋体" w:cs="宋体"/>
                <w:kern w:val="0"/>
                <w:sz w:val="21"/>
                <w:szCs w:val="21"/>
              </w:rPr>
            </w:pPr>
          </w:p>
        </w:tc>
        <w:tc>
          <w:tcPr>
            <w:tcW w:w="7094" w:type="dxa"/>
            <w:gridSpan w:val="2"/>
          </w:tcPr>
          <w:p w14:paraId="390C56B1">
            <w:pPr>
              <w:rPr>
                <w:rFonts w:hint="eastAsia" w:ascii="宋体" w:hAnsi="宋体" w:cs="宋体"/>
                <w:kern w:val="0"/>
                <w:sz w:val="21"/>
                <w:szCs w:val="21"/>
              </w:rPr>
            </w:pPr>
            <w:r>
              <w:rPr>
                <w:rFonts w:hint="eastAsia" w:ascii="宋体" w:hAnsi="宋体" w:cs="宋体"/>
                <w:color w:val="000000"/>
                <w:sz w:val="21"/>
                <w:szCs w:val="21"/>
              </w:rPr>
              <w:t>手机微信端可显示、提示体检客户的排队序号，大概等候时间等信息；</w:t>
            </w:r>
          </w:p>
        </w:tc>
      </w:tr>
      <w:tr w14:paraId="2F67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61F88F4C">
            <w:pPr>
              <w:widowControl/>
              <w:jc w:val="center"/>
              <w:rPr>
                <w:rFonts w:hint="eastAsia" w:ascii="宋体" w:hAnsi="宋体" w:cs="宋体"/>
                <w:kern w:val="0"/>
                <w:sz w:val="21"/>
                <w:szCs w:val="21"/>
              </w:rPr>
            </w:pPr>
          </w:p>
        </w:tc>
        <w:tc>
          <w:tcPr>
            <w:tcW w:w="7094" w:type="dxa"/>
            <w:gridSpan w:val="2"/>
          </w:tcPr>
          <w:p w14:paraId="179E4FC5">
            <w:pPr>
              <w:widowControl/>
              <w:jc w:val="left"/>
              <w:rPr>
                <w:rFonts w:hint="eastAsia" w:ascii="宋体" w:hAnsi="宋体" w:cs="宋体"/>
                <w:kern w:val="0"/>
                <w:sz w:val="21"/>
                <w:szCs w:val="21"/>
              </w:rPr>
            </w:pPr>
            <w:r>
              <w:rPr>
                <w:rFonts w:hint="eastAsia" w:ascii="宋体" w:hAnsi="宋体" w:cs="宋体"/>
                <w:color w:val="000000"/>
                <w:sz w:val="21"/>
                <w:szCs w:val="21"/>
              </w:rPr>
              <w:t>支持碳13或碳14项目检查过半小时后提示客户二次呼气功能；</w:t>
            </w:r>
          </w:p>
        </w:tc>
      </w:tr>
      <w:tr w14:paraId="7077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1E936477">
            <w:pPr>
              <w:widowControl/>
              <w:jc w:val="center"/>
              <w:rPr>
                <w:rFonts w:hint="eastAsia" w:ascii="宋体" w:hAnsi="宋体" w:cs="宋体"/>
                <w:kern w:val="0"/>
                <w:sz w:val="21"/>
                <w:szCs w:val="21"/>
              </w:rPr>
            </w:pPr>
          </w:p>
        </w:tc>
        <w:tc>
          <w:tcPr>
            <w:tcW w:w="7094" w:type="dxa"/>
            <w:gridSpan w:val="2"/>
          </w:tcPr>
          <w:p w14:paraId="1781FA9B">
            <w:pPr>
              <w:rPr>
                <w:rFonts w:hint="eastAsia" w:ascii="宋体" w:hAnsi="宋体" w:cs="宋体"/>
                <w:kern w:val="0"/>
                <w:sz w:val="21"/>
                <w:szCs w:val="21"/>
              </w:rPr>
            </w:pPr>
            <w:r>
              <w:rPr>
                <w:rFonts w:hint="eastAsia" w:ascii="宋体" w:hAnsi="宋体" w:cs="宋体"/>
                <w:color w:val="000000"/>
                <w:kern w:val="0"/>
                <w:sz w:val="21"/>
                <w:szCs w:val="21"/>
              </w:rPr>
              <w:t>可自助弃检项目，对需要弃检项目自助选择弃检；</w:t>
            </w:r>
          </w:p>
        </w:tc>
      </w:tr>
      <w:tr w14:paraId="4EF5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3E86825D">
            <w:pPr>
              <w:widowControl/>
              <w:jc w:val="center"/>
              <w:rPr>
                <w:rFonts w:hint="eastAsia" w:ascii="宋体" w:hAnsi="宋体" w:cs="宋体"/>
                <w:kern w:val="0"/>
                <w:sz w:val="21"/>
                <w:szCs w:val="21"/>
              </w:rPr>
            </w:pPr>
          </w:p>
        </w:tc>
        <w:tc>
          <w:tcPr>
            <w:tcW w:w="7094" w:type="dxa"/>
            <w:gridSpan w:val="2"/>
          </w:tcPr>
          <w:p w14:paraId="4943F40A">
            <w:pPr>
              <w:widowControl/>
              <w:jc w:val="left"/>
              <w:rPr>
                <w:rFonts w:hint="eastAsia" w:ascii="宋体" w:hAnsi="宋体" w:cs="宋体"/>
                <w:kern w:val="0"/>
                <w:sz w:val="21"/>
                <w:szCs w:val="21"/>
              </w:rPr>
            </w:pPr>
            <w:r>
              <w:rPr>
                <w:rFonts w:hint="eastAsia" w:ascii="宋体" w:hAnsi="宋体" w:cs="宋体"/>
                <w:color w:val="000000"/>
                <w:kern w:val="0"/>
                <w:sz w:val="21"/>
                <w:szCs w:val="21"/>
              </w:rPr>
              <w:t>过号人员可通过微信端自助恢复科室排队检查；</w:t>
            </w:r>
          </w:p>
        </w:tc>
      </w:tr>
      <w:tr w14:paraId="2FA1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4E127C3E">
            <w:pPr>
              <w:widowControl/>
              <w:jc w:val="center"/>
              <w:rPr>
                <w:rFonts w:hint="eastAsia" w:ascii="宋体" w:hAnsi="宋体" w:cs="宋体"/>
                <w:kern w:val="0"/>
                <w:sz w:val="21"/>
                <w:szCs w:val="21"/>
              </w:rPr>
            </w:pPr>
          </w:p>
        </w:tc>
        <w:tc>
          <w:tcPr>
            <w:tcW w:w="7094" w:type="dxa"/>
            <w:gridSpan w:val="2"/>
          </w:tcPr>
          <w:p w14:paraId="3635238D">
            <w:pPr>
              <w:widowControl/>
              <w:jc w:val="left"/>
              <w:rPr>
                <w:rFonts w:hint="eastAsia" w:ascii="宋体" w:hAnsi="宋体" w:cs="宋体"/>
                <w:kern w:val="0"/>
                <w:sz w:val="21"/>
                <w:szCs w:val="21"/>
              </w:rPr>
            </w:pPr>
            <w:r>
              <w:rPr>
                <w:rFonts w:hint="eastAsia" w:ascii="宋体" w:hAnsi="宋体" w:cs="宋体"/>
                <w:color w:val="000000"/>
                <w:kern w:val="0"/>
                <w:sz w:val="21"/>
                <w:szCs w:val="21"/>
              </w:rPr>
              <w:t>憋尿人员可自助返回对应科室功能；</w:t>
            </w:r>
          </w:p>
        </w:tc>
      </w:tr>
      <w:tr w14:paraId="4CE6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67A67396">
            <w:pPr>
              <w:widowControl/>
              <w:jc w:val="center"/>
              <w:rPr>
                <w:rFonts w:hint="eastAsia" w:ascii="宋体" w:hAnsi="宋体" w:cs="宋体"/>
                <w:kern w:val="0"/>
                <w:sz w:val="21"/>
                <w:szCs w:val="21"/>
              </w:rPr>
            </w:pPr>
          </w:p>
        </w:tc>
        <w:tc>
          <w:tcPr>
            <w:tcW w:w="7094" w:type="dxa"/>
            <w:gridSpan w:val="2"/>
          </w:tcPr>
          <w:p w14:paraId="77AD42BE">
            <w:pPr>
              <w:widowControl/>
              <w:jc w:val="left"/>
              <w:rPr>
                <w:rFonts w:hint="eastAsia" w:ascii="宋体" w:hAnsi="宋体" w:cs="宋体"/>
                <w:kern w:val="0"/>
                <w:sz w:val="21"/>
                <w:szCs w:val="21"/>
              </w:rPr>
            </w:pPr>
            <w:r>
              <w:rPr>
                <w:rFonts w:hint="eastAsia" w:ascii="宋体" w:hAnsi="宋体" w:cs="宋体"/>
                <w:color w:val="000000"/>
                <w:sz w:val="21"/>
                <w:szCs w:val="21"/>
              </w:rPr>
              <w:t>支持医检评价功能，</w:t>
            </w:r>
            <w:r>
              <w:rPr>
                <w:rFonts w:hint="eastAsia" w:ascii="宋体" w:hAnsi="宋体" w:cs="宋体"/>
                <w:kern w:val="0"/>
                <w:sz w:val="21"/>
                <w:szCs w:val="21"/>
              </w:rPr>
              <w:t xml:space="preserve"> 可对本次整体体检科室进行星级打分及自定义评价；</w:t>
            </w:r>
          </w:p>
        </w:tc>
      </w:tr>
      <w:tr w14:paraId="2641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3C05561A">
            <w:pPr>
              <w:widowControl/>
              <w:jc w:val="center"/>
              <w:rPr>
                <w:rFonts w:hint="eastAsia" w:ascii="宋体" w:hAnsi="宋体" w:cs="宋体"/>
                <w:kern w:val="0"/>
                <w:sz w:val="21"/>
                <w:szCs w:val="21"/>
              </w:rPr>
            </w:pPr>
          </w:p>
        </w:tc>
        <w:tc>
          <w:tcPr>
            <w:tcW w:w="7094" w:type="dxa"/>
            <w:gridSpan w:val="2"/>
          </w:tcPr>
          <w:p w14:paraId="33C4F6EB">
            <w:pPr>
              <w:widowControl/>
              <w:jc w:val="left"/>
              <w:rPr>
                <w:rFonts w:hint="eastAsia" w:ascii="宋体" w:hAnsi="宋体" w:cs="宋体"/>
                <w:kern w:val="0"/>
                <w:sz w:val="21"/>
                <w:szCs w:val="21"/>
              </w:rPr>
            </w:pPr>
            <w:r>
              <w:rPr>
                <w:rFonts w:hint="eastAsia" w:ascii="宋体" w:hAnsi="宋体" w:cs="宋体"/>
                <w:color w:val="000000"/>
                <w:kern w:val="0"/>
                <w:sz w:val="21"/>
                <w:szCs w:val="21"/>
              </w:rPr>
              <w:t>对已检科室可多维度评价，包括医生技能、服务态度等；</w:t>
            </w:r>
          </w:p>
        </w:tc>
      </w:tr>
      <w:tr w14:paraId="7FD8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34ACF846">
            <w:pPr>
              <w:widowControl/>
              <w:jc w:val="center"/>
              <w:rPr>
                <w:rFonts w:hint="eastAsia" w:ascii="宋体" w:hAnsi="宋体" w:cs="宋体"/>
                <w:kern w:val="0"/>
                <w:sz w:val="21"/>
                <w:szCs w:val="21"/>
              </w:rPr>
            </w:pPr>
          </w:p>
        </w:tc>
        <w:tc>
          <w:tcPr>
            <w:tcW w:w="7094" w:type="dxa"/>
            <w:gridSpan w:val="2"/>
          </w:tcPr>
          <w:p w14:paraId="6ABD6BAB">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可匿名评价；</w:t>
            </w:r>
          </w:p>
        </w:tc>
      </w:tr>
      <w:tr w14:paraId="2FF5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21440AB4">
            <w:pPr>
              <w:widowControl/>
              <w:jc w:val="center"/>
              <w:rPr>
                <w:rFonts w:hint="eastAsia" w:ascii="宋体" w:hAnsi="宋体" w:cs="宋体"/>
                <w:kern w:val="0"/>
                <w:sz w:val="21"/>
                <w:szCs w:val="21"/>
              </w:rPr>
            </w:pPr>
          </w:p>
        </w:tc>
        <w:tc>
          <w:tcPr>
            <w:tcW w:w="7094" w:type="dxa"/>
            <w:gridSpan w:val="2"/>
          </w:tcPr>
          <w:p w14:paraId="4A5B69C4">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体检完成后可对本次体检进行评价，包括就检环境，整体感受等综合评价；</w:t>
            </w:r>
          </w:p>
        </w:tc>
      </w:tr>
      <w:tr w14:paraId="1F51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2C3EECC9">
            <w:pPr>
              <w:widowControl/>
              <w:jc w:val="center"/>
              <w:rPr>
                <w:rFonts w:hint="eastAsia" w:ascii="宋体" w:hAnsi="宋体" w:cs="宋体"/>
                <w:kern w:val="0"/>
                <w:sz w:val="21"/>
                <w:szCs w:val="21"/>
              </w:rPr>
            </w:pPr>
          </w:p>
        </w:tc>
        <w:tc>
          <w:tcPr>
            <w:tcW w:w="7094" w:type="dxa"/>
            <w:gridSpan w:val="2"/>
          </w:tcPr>
          <w:p w14:paraId="050EAEB8">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支持自助放弃某些项目排队；</w:t>
            </w:r>
          </w:p>
        </w:tc>
      </w:tr>
      <w:tr w14:paraId="1847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restart"/>
            <w:vAlign w:val="center"/>
          </w:tcPr>
          <w:p w14:paraId="3394277C">
            <w:pPr>
              <w:widowControl/>
              <w:jc w:val="center"/>
              <w:rPr>
                <w:rFonts w:hint="eastAsia" w:ascii="宋体" w:hAnsi="宋体" w:cs="宋体"/>
                <w:b/>
                <w:bCs/>
                <w:kern w:val="0"/>
                <w:sz w:val="21"/>
                <w:szCs w:val="21"/>
              </w:rPr>
            </w:pPr>
            <w:r>
              <w:rPr>
                <w:rFonts w:hint="eastAsia" w:ascii="宋体" w:hAnsi="宋体" w:cs="宋体"/>
                <w:b/>
                <w:bCs/>
                <w:color w:val="000000"/>
                <w:kern w:val="0"/>
                <w:sz w:val="21"/>
                <w:szCs w:val="21"/>
              </w:rPr>
              <w:t>微信导检后台管理</w:t>
            </w:r>
          </w:p>
        </w:tc>
        <w:tc>
          <w:tcPr>
            <w:tcW w:w="7094" w:type="dxa"/>
            <w:gridSpan w:val="2"/>
          </w:tcPr>
          <w:p w14:paraId="55BB94CA">
            <w:pPr>
              <w:widowControl/>
              <w:jc w:val="left"/>
              <w:rPr>
                <w:rFonts w:hint="eastAsia" w:ascii="宋体" w:hAnsi="宋体" w:cs="宋体"/>
                <w:kern w:val="0"/>
                <w:sz w:val="21"/>
                <w:szCs w:val="21"/>
              </w:rPr>
            </w:pPr>
            <w:r>
              <w:rPr>
                <w:rFonts w:hint="eastAsia" w:ascii="宋体" w:hAnsi="宋体" w:cs="宋体"/>
                <w:color w:val="000000"/>
                <w:kern w:val="0"/>
                <w:sz w:val="21"/>
                <w:szCs w:val="21"/>
              </w:rPr>
              <w:t>支持查看当前体检中心整体体检状态，包括体检总人数，男女比例，vip与普通客户比例；</w:t>
            </w:r>
          </w:p>
        </w:tc>
      </w:tr>
      <w:tr w14:paraId="4C8E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1B65D68B">
            <w:pPr>
              <w:widowControl/>
              <w:jc w:val="center"/>
              <w:rPr>
                <w:rFonts w:hint="eastAsia" w:ascii="宋体" w:hAnsi="宋体" w:cs="宋体"/>
                <w:kern w:val="0"/>
                <w:sz w:val="21"/>
                <w:szCs w:val="21"/>
              </w:rPr>
            </w:pPr>
          </w:p>
        </w:tc>
        <w:tc>
          <w:tcPr>
            <w:tcW w:w="7094" w:type="dxa"/>
            <w:gridSpan w:val="2"/>
          </w:tcPr>
          <w:p w14:paraId="2CE4473F">
            <w:pPr>
              <w:widowControl/>
              <w:jc w:val="left"/>
              <w:rPr>
                <w:rFonts w:hint="eastAsia" w:ascii="宋体" w:hAnsi="宋体" w:cs="宋体"/>
                <w:kern w:val="0"/>
                <w:sz w:val="21"/>
                <w:szCs w:val="21"/>
              </w:rPr>
            </w:pPr>
            <w:r>
              <w:rPr>
                <w:rFonts w:hint="eastAsia" w:ascii="宋体" w:hAnsi="宋体" w:cs="宋体"/>
                <w:color w:val="000000"/>
                <w:kern w:val="0"/>
                <w:sz w:val="21"/>
                <w:szCs w:val="21"/>
              </w:rPr>
              <w:t>支持查看整体及各科室星级评价分布及评价数量；</w:t>
            </w:r>
          </w:p>
        </w:tc>
      </w:tr>
      <w:tr w14:paraId="2326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012C5A86">
            <w:pPr>
              <w:widowControl/>
              <w:jc w:val="center"/>
              <w:rPr>
                <w:rFonts w:hint="eastAsia" w:ascii="宋体" w:hAnsi="宋体" w:cs="宋体"/>
                <w:kern w:val="0"/>
                <w:sz w:val="21"/>
                <w:szCs w:val="21"/>
              </w:rPr>
            </w:pPr>
          </w:p>
        </w:tc>
        <w:tc>
          <w:tcPr>
            <w:tcW w:w="7094" w:type="dxa"/>
            <w:gridSpan w:val="2"/>
          </w:tcPr>
          <w:p w14:paraId="1D9974EA">
            <w:pPr>
              <w:widowControl/>
              <w:jc w:val="left"/>
              <w:rPr>
                <w:rFonts w:hint="eastAsia" w:ascii="宋体" w:hAnsi="宋体" w:cs="宋体"/>
                <w:kern w:val="0"/>
                <w:sz w:val="21"/>
                <w:szCs w:val="21"/>
              </w:rPr>
            </w:pPr>
            <w:r>
              <w:rPr>
                <w:rFonts w:hint="eastAsia" w:ascii="宋体" w:hAnsi="宋体" w:cs="宋体"/>
                <w:color w:val="000000"/>
                <w:kern w:val="0"/>
                <w:sz w:val="21"/>
                <w:szCs w:val="21"/>
              </w:rPr>
              <w:t>支持查看客户评价内容并进行针对性的回复；</w:t>
            </w:r>
          </w:p>
        </w:tc>
      </w:tr>
      <w:tr w14:paraId="7304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271C1570">
            <w:pPr>
              <w:widowControl/>
              <w:jc w:val="center"/>
              <w:rPr>
                <w:rFonts w:hint="eastAsia" w:ascii="宋体" w:hAnsi="宋体" w:cs="宋体"/>
                <w:kern w:val="0"/>
                <w:sz w:val="21"/>
                <w:szCs w:val="21"/>
              </w:rPr>
            </w:pPr>
          </w:p>
        </w:tc>
        <w:tc>
          <w:tcPr>
            <w:tcW w:w="7094" w:type="dxa"/>
            <w:gridSpan w:val="2"/>
          </w:tcPr>
          <w:p w14:paraId="7B6F2C55">
            <w:pPr>
              <w:widowControl/>
              <w:jc w:val="left"/>
              <w:rPr>
                <w:rFonts w:hint="eastAsia" w:ascii="宋体" w:hAnsi="宋体" w:cs="宋体"/>
                <w:kern w:val="0"/>
                <w:sz w:val="21"/>
                <w:szCs w:val="21"/>
              </w:rPr>
            </w:pPr>
            <w:r>
              <w:rPr>
                <w:rFonts w:hint="eastAsia" w:ascii="宋体" w:hAnsi="宋体" w:cs="宋体"/>
                <w:color w:val="000000"/>
                <w:kern w:val="0"/>
                <w:sz w:val="21"/>
                <w:szCs w:val="21"/>
              </w:rPr>
              <w:t>支持条件筛选评价，如是否已回复，评价日期；</w:t>
            </w:r>
          </w:p>
        </w:tc>
      </w:tr>
      <w:tr w14:paraId="28AD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61" w:type="dxa"/>
          <w:jc w:val="center"/>
        </w:trPr>
        <w:tc>
          <w:tcPr>
            <w:tcW w:w="1306" w:type="dxa"/>
            <w:gridSpan w:val="2"/>
            <w:vMerge w:val="continue"/>
            <w:vAlign w:val="center"/>
          </w:tcPr>
          <w:p w14:paraId="17A337D3">
            <w:pPr>
              <w:widowControl/>
              <w:jc w:val="center"/>
              <w:rPr>
                <w:rFonts w:hint="eastAsia" w:ascii="宋体" w:hAnsi="宋体" w:cs="宋体"/>
                <w:kern w:val="0"/>
                <w:sz w:val="21"/>
                <w:szCs w:val="21"/>
              </w:rPr>
            </w:pPr>
          </w:p>
        </w:tc>
        <w:tc>
          <w:tcPr>
            <w:tcW w:w="7094" w:type="dxa"/>
            <w:gridSpan w:val="2"/>
          </w:tcPr>
          <w:p w14:paraId="6BA15E5C">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t>支</w:t>
            </w:r>
            <w:r>
              <w:rPr>
                <w:rFonts w:ascii="宋体" w:hAnsi="宋体" w:cs="宋体"/>
                <w:color w:val="000000"/>
                <w:kern w:val="0"/>
                <w:sz w:val="21"/>
                <w:szCs w:val="21"/>
              </w:rPr>
              <w:t>持设置评价回复模板，可选择固定模板快速回复客户评价</w:t>
            </w:r>
            <w:r>
              <w:rPr>
                <w:rFonts w:hint="eastAsia" w:ascii="宋体" w:hAnsi="宋体" w:cs="宋体"/>
                <w:color w:val="000000"/>
                <w:kern w:val="0"/>
                <w:sz w:val="21"/>
                <w:szCs w:val="21"/>
              </w:rPr>
              <w:t>；</w:t>
            </w:r>
          </w:p>
        </w:tc>
      </w:tr>
    </w:tbl>
    <w:p w14:paraId="09FD6F17">
      <w:pPr>
        <w:jc w:val="left"/>
      </w:pPr>
    </w:p>
    <w:p w14:paraId="5155CDAD">
      <w:pPr>
        <w:pStyle w:val="2"/>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KSOF722E2DD2">
    <w:panose1 w:val="020B07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99751D"/>
    <w:multiLevelType w:val="multilevel"/>
    <w:tmpl w:val="5A99751D"/>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10"/>
    <w:rsid w:val="00012175"/>
    <w:rsid w:val="00021754"/>
    <w:rsid w:val="00055CC9"/>
    <w:rsid w:val="000C372F"/>
    <w:rsid w:val="00115FF5"/>
    <w:rsid w:val="0014091A"/>
    <w:rsid w:val="001C2CB7"/>
    <w:rsid w:val="001F2C7D"/>
    <w:rsid w:val="00214610"/>
    <w:rsid w:val="002207BB"/>
    <w:rsid w:val="00227498"/>
    <w:rsid w:val="00243F03"/>
    <w:rsid w:val="00271171"/>
    <w:rsid w:val="002774D7"/>
    <w:rsid w:val="00297782"/>
    <w:rsid w:val="002A286B"/>
    <w:rsid w:val="002D5F9D"/>
    <w:rsid w:val="00315E35"/>
    <w:rsid w:val="00371FAD"/>
    <w:rsid w:val="00392ECE"/>
    <w:rsid w:val="003D2679"/>
    <w:rsid w:val="004108C0"/>
    <w:rsid w:val="004C3BC5"/>
    <w:rsid w:val="004C5068"/>
    <w:rsid w:val="004D04B4"/>
    <w:rsid w:val="004E073C"/>
    <w:rsid w:val="00506675"/>
    <w:rsid w:val="0051371E"/>
    <w:rsid w:val="005169C9"/>
    <w:rsid w:val="005534C5"/>
    <w:rsid w:val="00596757"/>
    <w:rsid w:val="005A1205"/>
    <w:rsid w:val="005B1F89"/>
    <w:rsid w:val="005D2AC8"/>
    <w:rsid w:val="005F5791"/>
    <w:rsid w:val="00634DCA"/>
    <w:rsid w:val="00685DD5"/>
    <w:rsid w:val="00687438"/>
    <w:rsid w:val="006B4AE8"/>
    <w:rsid w:val="006C3EE8"/>
    <w:rsid w:val="006C4071"/>
    <w:rsid w:val="006C5663"/>
    <w:rsid w:val="006C72A0"/>
    <w:rsid w:val="006C7DBB"/>
    <w:rsid w:val="006D0AB1"/>
    <w:rsid w:val="006D1211"/>
    <w:rsid w:val="0073311D"/>
    <w:rsid w:val="00733E26"/>
    <w:rsid w:val="00755B71"/>
    <w:rsid w:val="007A45B1"/>
    <w:rsid w:val="007B2CFA"/>
    <w:rsid w:val="007F742C"/>
    <w:rsid w:val="00806E3B"/>
    <w:rsid w:val="008305D5"/>
    <w:rsid w:val="00852F2F"/>
    <w:rsid w:val="008D0E3E"/>
    <w:rsid w:val="008D7426"/>
    <w:rsid w:val="008F0AF0"/>
    <w:rsid w:val="00907BFE"/>
    <w:rsid w:val="00930262"/>
    <w:rsid w:val="009417F6"/>
    <w:rsid w:val="00945D7C"/>
    <w:rsid w:val="00995118"/>
    <w:rsid w:val="00997FDC"/>
    <w:rsid w:val="009B3486"/>
    <w:rsid w:val="009D0574"/>
    <w:rsid w:val="00A01CF7"/>
    <w:rsid w:val="00A02A62"/>
    <w:rsid w:val="00A0340B"/>
    <w:rsid w:val="00A87033"/>
    <w:rsid w:val="00A959B6"/>
    <w:rsid w:val="00AA4E60"/>
    <w:rsid w:val="00AB3FC6"/>
    <w:rsid w:val="00AC1529"/>
    <w:rsid w:val="00AD1321"/>
    <w:rsid w:val="00AD282D"/>
    <w:rsid w:val="00AD5B06"/>
    <w:rsid w:val="00AF0B30"/>
    <w:rsid w:val="00B1166E"/>
    <w:rsid w:val="00B301FA"/>
    <w:rsid w:val="00B476EF"/>
    <w:rsid w:val="00B72C3C"/>
    <w:rsid w:val="00C21FBF"/>
    <w:rsid w:val="00C26C99"/>
    <w:rsid w:val="00C30D39"/>
    <w:rsid w:val="00C44637"/>
    <w:rsid w:val="00C720CE"/>
    <w:rsid w:val="00C83169"/>
    <w:rsid w:val="00CA4AD5"/>
    <w:rsid w:val="00CB0D88"/>
    <w:rsid w:val="00CB5409"/>
    <w:rsid w:val="00CF59DC"/>
    <w:rsid w:val="00D16917"/>
    <w:rsid w:val="00D35803"/>
    <w:rsid w:val="00DA03DA"/>
    <w:rsid w:val="00DB1B98"/>
    <w:rsid w:val="00E04A91"/>
    <w:rsid w:val="00E1091B"/>
    <w:rsid w:val="00E118F7"/>
    <w:rsid w:val="00E45B37"/>
    <w:rsid w:val="00F037E5"/>
    <w:rsid w:val="00F12982"/>
    <w:rsid w:val="00F36B52"/>
    <w:rsid w:val="00F53895"/>
    <w:rsid w:val="00FA06E8"/>
    <w:rsid w:val="00FD10B9"/>
    <w:rsid w:val="00FD37D8"/>
    <w:rsid w:val="00FE3CC9"/>
    <w:rsid w:val="00FE44A2"/>
    <w:rsid w:val="056E6895"/>
    <w:rsid w:val="06135E8F"/>
    <w:rsid w:val="06383B48"/>
    <w:rsid w:val="06BD229F"/>
    <w:rsid w:val="07A174CB"/>
    <w:rsid w:val="0BB35A1E"/>
    <w:rsid w:val="0BC1638D"/>
    <w:rsid w:val="0C1209C0"/>
    <w:rsid w:val="0D073416"/>
    <w:rsid w:val="0D531267"/>
    <w:rsid w:val="13516249"/>
    <w:rsid w:val="15C34AB0"/>
    <w:rsid w:val="163D2AB4"/>
    <w:rsid w:val="1936755E"/>
    <w:rsid w:val="1B324BB2"/>
    <w:rsid w:val="1B6D5BEA"/>
    <w:rsid w:val="1C7B60E4"/>
    <w:rsid w:val="1CFF0AC4"/>
    <w:rsid w:val="1D9022B5"/>
    <w:rsid w:val="1DEB6E7A"/>
    <w:rsid w:val="1E195BB5"/>
    <w:rsid w:val="211B39F2"/>
    <w:rsid w:val="23C860B3"/>
    <w:rsid w:val="26613883"/>
    <w:rsid w:val="26B6564F"/>
    <w:rsid w:val="271E248E"/>
    <w:rsid w:val="2AE5754B"/>
    <w:rsid w:val="2C2E0A7D"/>
    <w:rsid w:val="2DA336ED"/>
    <w:rsid w:val="2DFB7085"/>
    <w:rsid w:val="2EA74B17"/>
    <w:rsid w:val="2EDC0C65"/>
    <w:rsid w:val="338418CB"/>
    <w:rsid w:val="373158C6"/>
    <w:rsid w:val="3A281202"/>
    <w:rsid w:val="3B4E4C98"/>
    <w:rsid w:val="3C37397E"/>
    <w:rsid w:val="3DD95B12"/>
    <w:rsid w:val="3E7E5894"/>
    <w:rsid w:val="41F06AA9"/>
    <w:rsid w:val="45BE0C6C"/>
    <w:rsid w:val="466730B2"/>
    <w:rsid w:val="47462CC7"/>
    <w:rsid w:val="475926FB"/>
    <w:rsid w:val="47FC4BB5"/>
    <w:rsid w:val="49845D29"/>
    <w:rsid w:val="4ABD7744"/>
    <w:rsid w:val="4D8E53C8"/>
    <w:rsid w:val="4EA8070C"/>
    <w:rsid w:val="4ECD0A58"/>
    <w:rsid w:val="4F793FD0"/>
    <w:rsid w:val="4F9D18F3"/>
    <w:rsid w:val="509251CF"/>
    <w:rsid w:val="57EF5431"/>
    <w:rsid w:val="585A2A77"/>
    <w:rsid w:val="5CD1707F"/>
    <w:rsid w:val="5F4B3119"/>
    <w:rsid w:val="5FC30F01"/>
    <w:rsid w:val="67CB3049"/>
    <w:rsid w:val="68985C0D"/>
    <w:rsid w:val="698C05B6"/>
    <w:rsid w:val="6AF705F9"/>
    <w:rsid w:val="6D9D5488"/>
    <w:rsid w:val="6DF66946"/>
    <w:rsid w:val="70425E72"/>
    <w:rsid w:val="706C6A24"/>
    <w:rsid w:val="712D08D1"/>
    <w:rsid w:val="715E6CDC"/>
    <w:rsid w:val="74C8288B"/>
    <w:rsid w:val="750C4CA1"/>
    <w:rsid w:val="773D3837"/>
    <w:rsid w:val="78437949"/>
    <w:rsid w:val="7DA168CE"/>
    <w:rsid w:val="7DD520D4"/>
    <w:rsid w:val="7DF764EE"/>
    <w:rsid w:val="7F744888"/>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3">
    <w:name w:val="heading 1"/>
    <w:basedOn w:val="1"/>
    <w:next w:val="1"/>
    <w:link w:val="11"/>
    <w:qFormat/>
    <w:uiPriority w:val="0"/>
    <w:pPr>
      <w:keepNext/>
      <w:keepLines/>
      <w:adjustRightInd w:val="0"/>
      <w:snapToGrid w:val="0"/>
      <w:spacing w:before="340" w:after="330" w:line="0" w:lineRule="atLeast"/>
      <w:outlineLvl w:val="0"/>
    </w:pPr>
    <w:rPr>
      <w:rFonts w:ascii="Arial" w:hAnsi="Arial" w:cs="Arial"/>
      <w:b/>
      <w:bCs/>
      <w:color w:val="333333"/>
      <w:kern w:val="44"/>
      <w:sz w:val="32"/>
      <w:szCs w:val="44"/>
    </w:rPr>
  </w:style>
  <w:style w:type="paragraph" w:styleId="4">
    <w:name w:val="heading 2"/>
    <w:basedOn w:val="1"/>
    <w:next w:val="1"/>
    <w:link w:val="12"/>
    <w:semiHidden/>
    <w:unhideWhenUsed/>
    <w:qFormat/>
    <w:uiPriority w:val="0"/>
    <w:pPr>
      <w:keepNext/>
      <w:outlineLvl w:val="1"/>
    </w:pPr>
    <w:rPr>
      <w:rFonts w:ascii="Arial" w:hAnsi="Arial" w:cs="Times New Roman"/>
      <w:sz w:val="28"/>
      <w:lang w:eastAsia="ja-JP"/>
    </w:rPr>
  </w:style>
  <w:style w:type="paragraph" w:styleId="5">
    <w:name w:val="heading 3"/>
    <w:basedOn w:val="1"/>
    <w:next w:val="1"/>
    <w:semiHidden/>
    <w:unhideWhenUsed/>
    <w:qFormat/>
    <w:uiPriority w:val="0"/>
    <w:pPr>
      <w:keepNext/>
      <w:tabs>
        <w:tab w:val="left" w:pos="0"/>
        <w:tab w:val="left" w:pos="180"/>
      </w:tabs>
      <w:overflowPunct w:val="0"/>
      <w:autoSpaceDE w:val="0"/>
      <w:autoSpaceDN w:val="0"/>
      <w:adjustRightInd w:val="0"/>
      <w:spacing w:before="425" w:after="113"/>
      <w:outlineLvl w:val="2"/>
    </w:pPr>
    <w:rPr>
      <w:rFonts w:ascii="Arial Narrow" w:hAnsi="Arial Narrow" w:eastAsia="仿宋" w:cs="MS PGothic"/>
      <w:b/>
      <w:spacing w:val="10"/>
      <w:szCs w:val="20"/>
      <w:lang w:eastAsia="en-US"/>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footer"/>
    <w:basedOn w:val="1"/>
    <w:link w:val="15"/>
    <w:qFormat/>
    <w:uiPriority w:val="0"/>
    <w:pPr>
      <w:tabs>
        <w:tab w:val="center" w:pos="4153"/>
        <w:tab w:val="right" w:pos="8306"/>
      </w:tabs>
      <w:snapToGrid w:val="0"/>
      <w:spacing w:line="240" w:lineRule="auto"/>
      <w:jc w:val="left"/>
    </w:pPr>
    <w:rPr>
      <w:sz w:val="18"/>
      <w:szCs w:val="18"/>
    </w:rPr>
  </w:style>
  <w:style w:type="paragraph" w:styleId="7">
    <w:name w:val="header"/>
    <w:basedOn w:val="1"/>
    <w:link w:val="14"/>
    <w:qFormat/>
    <w:uiPriority w:val="0"/>
    <w:pPr>
      <w:tabs>
        <w:tab w:val="center" w:pos="4153"/>
        <w:tab w:val="right" w:pos="8306"/>
      </w:tabs>
      <w:snapToGrid w:val="0"/>
      <w:spacing w:line="240" w:lineRule="auto"/>
      <w:jc w:val="center"/>
    </w:pPr>
    <w:rPr>
      <w:sz w:val="18"/>
      <w:szCs w:val="18"/>
    </w:rPr>
  </w:style>
  <w:style w:type="paragraph" w:styleId="8">
    <w:name w:val="toc 2"/>
    <w:basedOn w:val="1"/>
    <w:next w:val="1"/>
    <w:qFormat/>
    <w:uiPriority w:val="0"/>
    <w:pPr>
      <w:ind w:left="420" w:leftChars="200"/>
    </w:pPr>
  </w:style>
  <w:style w:type="character" w:customStyle="1" w:styleId="11">
    <w:name w:val="标题 1 字符"/>
    <w:link w:val="3"/>
    <w:qFormat/>
    <w:uiPriority w:val="99"/>
    <w:rPr>
      <w:rFonts w:ascii="Arial" w:hAnsi="Arial" w:eastAsia="宋体" w:cs="Arial"/>
      <w:b/>
      <w:bCs/>
      <w:color w:val="333333"/>
      <w:sz w:val="32"/>
      <w:szCs w:val="20"/>
    </w:rPr>
  </w:style>
  <w:style w:type="character" w:customStyle="1" w:styleId="12">
    <w:name w:val="标题 2 字符"/>
    <w:link w:val="4"/>
    <w:qFormat/>
    <w:uiPriority w:val="0"/>
    <w:rPr>
      <w:rFonts w:ascii="Arial" w:hAnsi="Arial" w:eastAsia="宋体" w:cs="Times New Roman"/>
      <w:sz w:val="28"/>
      <w:lang w:eastAsia="ja-JP"/>
    </w:rPr>
  </w:style>
  <w:style w:type="paragraph" w:customStyle="1" w:styleId="13">
    <w:name w:val="Table Text"/>
    <w:basedOn w:val="1"/>
    <w:semiHidden/>
    <w:qFormat/>
    <w:uiPriority w:val="0"/>
    <w:pPr>
      <w:widowControl/>
      <w:kinsoku w:val="0"/>
      <w:autoSpaceDE w:val="0"/>
      <w:autoSpaceDN w:val="0"/>
      <w:adjustRightInd w:val="0"/>
      <w:snapToGrid w:val="0"/>
      <w:spacing w:after="160" w:line="240" w:lineRule="auto"/>
      <w:jc w:val="left"/>
    </w:pPr>
    <w:rPr>
      <w:rFonts w:ascii="宋体" w:hAnsi="宋体" w:cs="宋体"/>
      <w:color w:val="000000"/>
      <w:kern w:val="0"/>
      <w:sz w:val="20"/>
      <w:szCs w:val="20"/>
      <w:lang w:eastAsia="en-US"/>
    </w:rPr>
  </w:style>
  <w:style w:type="character" w:customStyle="1" w:styleId="14">
    <w:name w:val="页眉 字符"/>
    <w:basedOn w:val="10"/>
    <w:link w:val="7"/>
    <w:qFormat/>
    <w:uiPriority w:val="0"/>
    <w:rPr>
      <w:rFonts w:eastAsia="宋体"/>
      <w:kern w:val="2"/>
      <w:sz w:val="18"/>
      <w:szCs w:val="18"/>
    </w:rPr>
  </w:style>
  <w:style w:type="character" w:customStyle="1" w:styleId="15">
    <w:name w:val="页脚 字符"/>
    <w:basedOn w:val="10"/>
    <w:link w:val="6"/>
    <w:qFormat/>
    <w:uiPriority w:val="0"/>
    <w:rPr>
      <w:rFonts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5632</Words>
  <Characters>5685</Characters>
  <Lines>473</Lines>
  <Paragraphs>403</Paragraphs>
  <TotalTime>655</TotalTime>
  <ScaleCrop>false</ScaleCrop>
  <LinksUpToDate>false</LinksUpToDate>
  <CharactersWithSpaces>5711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2024-07-09T04:11:00Z</dcterms:created>
  <dc:creator>480</dc:creator>
  <cp:lastModifiedBy>机械</cp:lastModifiedBy>
  <dcterms:modified xsi:type="dcterms:W3CDTF">2026-07-10T07:58:26Z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B66DEF6A669740219289A3B76459B1B1_13</vt:lpwstr>
  </property>
  <property fmtid="{D5CDD505-2E9C-101B-9397-08002B2CF9AE}" pid="4" name="KSOTemplateDocerSaveRecord">
    <vt:lpwstr>eyJoZGlkIjoiMjBlNDRkNmM5NGJkYmJhZWI1MWIzY2U1NDgxMDkyZjMiLCJ1c2VySWQiOiIzOTIwNDkxNzIifQ==</vt:lpwstr>
  </property>
</Properties>
</file>