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黑体"/>
          <w:sz w:val="32"/>
          <w:szCs w:val="32"/>
        </w:rPr>
      </w:pPr>
      <w:r>
        <w:rPr>
          <w:rFonts w:hint="eastAsia" w:ascii="黑体" w:hAnsi="黑体" w:eastAsia="黑体" w:cs="黑体"/>
          <w:sz w:val="32"/>
          <w:szCs w:val="32"/>
        </w:rPr>
        <w:t>附件4</w:t>
      </w:r>
    </w:p>
    <w:p>
      <w:pPr>
        <w:spacing w:line="560" w:lineRule="exact"/>
        <w:rPr>
          <w:rFonts w:ascii="黑体" w:hAnsi="黑体" w:eastAsia="黑体" w:cs="黑体"/>
          <w:sz w:val="32"/>
          <w:szCs w:val="32"/>
        </w:rPr>
      </w:pP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绍兴市</w:t>
      </w:r>
      <w:r>
        <w:rPr>
          <w:rFonts w:hint="eastAsia" w:ascii="方正小标宋简体" w:hAnsi="方正小标宋简体" w:eastAsia="方正小标宋简体" w:cs="方正小标宋简体"/>
          <w:sz w:val="44"/>
          <w:szCs w:val="44"/>
        </w:rPr>
        <w:t>电子处方数据质量控制规范（暂行）</w:t>
      </w:r>
    </w:p>
    <w:p>
      <w:pPr>
        <w:spacing w:line="600" w:lineRule="exact"/>
        <w:ind w:firstLine="880" w:firstLineChars="200"/>
        <w:jc w:val="center"/>
        <w:rPr>
          <w:rFonts w:ascii="方正小标宋简体" w:hAnsi="方正小标宋简体" w:eastAsia="方正小标宋简体" w:cs="方正小标宋简体"/>
          <w:sz w:val="44"/>
          <w:szCs w:val="44"/>
        </w:rPr>
      </w:pP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目前我</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依托省处方信息交换与流转平台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为实现</w:t>
      </w:r>
      <w:r>
        <w:rPr>
          <w:rFonts w:hint="eastAsia" w:ascii="仿宋_GB2312" w:hAnsi="仿宋_GB2312" w:eastAsia="仿宋_GB2312" w:cs="仿宋_GB2312"/>
          <w:sz w:val="32"/>
          <w:szCs w:val="32"/>
        </w:rPr>
        <w:t>公立医疗机构的电子处方数据采集与开放，并根据质量控制规范，实现了电子处方数据质量的全面提升。为进一步提升电子处方数据质量，规范电子处方的开放与流转，</w:t>
      </w:r>
      <w:r>
        <w:rPr>
          <w:rFonts w:ascii="仿宋_GB2312" w:hAnsi="仿宋_GB2312" w:eastAsia="仿宋_GB2312" w:cs="仿宋_GB2312"/>
          <w:sz w:val="32"/>
          <w:szCs w:val="32"/>
        </w:rPr>
        <w:t>实现</w:t>
      </w:r>
      <w:r>
        <w:rPr>
          <w:rFonts w:hint="eastAsia" w:ascii="仿宋_GB2312" w:hAnsi="仿宋_GB2312" w:eastAsia="仿宋_GB2312" w:cs="仿宋_GB2312"/>
          <w:sz w:val="32"/>
          <w:szCs w:val="32"/>
        </w:rPr>
        <w:t>电子处方的全流程监管。结合实际，特制定本规范。</w:t>
      </w:r>
    </w:p>
    <w:p>
      <w:pPr>
        <w:pStyle w:val="4"/>
        <w:jc w:val="left"/>
      </w:pPr>
      <w:r>
        <w:rPr>
          <w:rFonts w:hint="eastAsia"/>
        </w:rPr>
        <w:t>一、</w:t>
      </w:r>
      <w:r>
        <w:t>主要目标</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通过制定本规范，进一步明确电子处方数据的质量控制标准，提升电子处方数据质量，规范处方流转行为。</w:t>
      </w:r>
    </w:p>
    <w:p>
      <w:pPr>
        <w:pStyle w:val="4"/>
        <w:jc w:val="left"/>
      </w:pPr>
      <w:r>
        <w:rPr>
          <w:rFonts w:hint="eastAsia"/>
        </w:rPr>
        <w:t>二、适用范围</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本规范作为各级卫生健康行政部门、各级各类医疗卫生机构依托省平台对外提供电子处方开放及流转服务的适用标准与操作指南，也可用于指导上述部门和机构对同类数据的开放、利用等管理工作。</w:t>
      </w:r>
    </w:p>
    <w:p>
      <w:pPr>
        <w:pStyle w:val="4"/>
        <w:jc w:val="left"/>
      </w:pPr>
      <w:r>
        <w:rPr>
          <w:rFonts w:hint="eastAsia"/>
        </w:rPr>
        <w:t>三、数据评分</w:t>
      </w:r>
      <w:r>
        <w:t>标准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电子处方数据的评分均采用百分制，根据数据的完整性、准确性、及时性和重复性等维度进行综合评分，具体评分细则和指标释义如下：</w:t>
      </w:r>
    </w:p>
    <w:tbl>
      <w:tblPr>
        <w:tblStyle w:val="5"/>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2126"/>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1271" w:type="dxa"/>
            <w:tcBorders>
              <w:tl2br w:val="single" w:color="auto" w:sz="4" w:space="0"/>
            </w:tcBorders>
          </w:tcPr>
          <w:p>
            <w:pPr>
              <w:spacing w:line="660" w:lineRule="exact"/>
              <w:rPr>
                <w:rFonts w:ascii="黑体" w:hAnsi="黑体" w:eastAsia="黑体"/>
                <w:sz w:val="20"/>
                <w:szCs w:val="32"/>
              </w:rPr>
            </w:pPr>
            <w:r>
              <w:rPr>
                <w:rFonts w:hint="eastAsia" w:ascii="黑体" w:hAnsi="黑体" w:eastAsia="黑体"/>
                <w:sz w:val="20"/>
                <w:szCs w:val="32"/>
              </w:rPr>
              <w:t xml:space="preserve">      属性</w:t>
            </w:r>
          </w:p>
          <w:p>
            <w:pPr>
              <w:spacing w:line="660" w:lineRule="exact"/>
              <w:rPr>
                <w:rFonts w:ascii="黑体" w:hAnsi="黑体" w:eastAsia="黑体"/>
                <w:sz w:val="20"/>
                <w:szCs w:val="32"/>
              </w:rPr>
            </w:pPr>
            <w:r>
              <w:rPr>
                <w:rFonts w:hint="eastAsia" w:ascii="黑体" w:hAnsi="黑体" w:eastAsia="黑体"/>
                <w:sz w:val="20"/>
                <w:szCs w:val="32"/>
              </w:rPr>
              <w:t>评分</w:t>
            </w:r>
            <w:r>
              <w:rPr>
                <w:rFonts w:ascii="黑体" w:hAnsi="黑体" w:eastAsia="黑体"/>
                <w:sz w:val="20"/>
                <w:szCs w:val="32"/>
              </w:rPr>
              <w:t>项</w:t>
            </w:r>
          </w:p>
        </w:tc>
        <w:tc>
          <w:tcPr>
            <w:tcW w:w="709" w:type="dxa"/>
          </w:tcPr>
          <w:p>
            <w:pPr>
              <w:spacing w:line="660" w:lineRule="exact"/>
              <w:jc w:val="center"/>
              <w:rPr>
                <w:rFonts w:ascii="黑体" w:hAnsi="黑体" w:eastAsia="黑体"/>
                <w:sz w:val="20"/>
                <w:szCs w:val="32"/>
              </w:rPr>
            </w:pPr>
            <w:r>
              <w:rPr>
                <w:rFonts w:hint="eastAsia" w:ascii="黑体" w:hAnsi="黑体" w:eastAsia="黑体"/>
                <w:sz w:val="20"/>
                <w:szCs w:val="32"/>
              </w:rPr>
              <w:t>权重</w:t>
            </w:r>
          </w:p>
        </w:tc>
        <w:tc>
          <w:tcPr>
            <w:tcW w:w="2126" w:type="dxa"/>
          </w:tcPr>
          <w:p>
            <w:pPr>
              <w:spacing w:line="660" w:lineRule="exact"/>
              <w:jc w:val="center"/>
              <w:rPr>
                <w:rFonts w:ascii="黑体" w:hAnsi="黑体" w:eastAsia="黑体"/>
                <w:sz w:val="20"/>
                <w:szCs w:val="32"/>
              </w:rPr>
            </w:pPr>
            <w:r>
              <w:rPr>
                <w:rFonts w:hint="eastAsia" w:ascii="黑体" w:hAnsi="黑体" w:eastAsia="黑体"/>
                <w:sz w:val="20"/>
                <w:szCs w:val="32"/>
              </w:rPr>
              <w:t>计算</w:t>
            </w:r>
            <w:r>
              <w:rPr>
                <w:rFonts w:ascii="黑体" w:hAnsi="黑体" w:eastAsia="黑体"/>
                <w:sz w:val="20"/>
                <w:szCs w:val="32"/>
              </w:rPr>
              <w:t>公式</w:t>
            </w:r>
          </w:p>
        </w:tc>
        <w:tc>
          <w:tcPr>
            <w:tcW w:w="4678" w:type="dxa"/>
          </w:tcPr>
          <w:p>
            <w:pPr>
              <w:spacing w:line="660" w:lineRule="exact"/>
              <w:jc w:val="center"/>
              <w:rPr>
                <w:rFonts w:ascii="黑体" w:hAnsi="黑体" w:eastAsia="黑体"/>
                <w:sz w:val="20"/>
                <w:szCs w:val="32"/>
              </w:rPr>
            </w:pPr>
            <w:r>
              <w:rPr>
                <w:rFonts w:hint="eastAsia" w:ascii="黑体" w:hAnsi="黑体" w:eastAsia="黑体"/>
                <w:sz w:val="20"/>
                <w:szCs w:val="32"/>
              </w:rPr>
              <w:t>指标解释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71" w:type="dxa"/>
          </w:tcPr>
          <w:p>
            <w:pPr>
              <w:spacing w:line="500" w:lineRule="exact"/>
              <w:rPr>
                <w:rFonts w:ascii="仿宋" w:hAnsi="仿宋" w:eastAsia="仿宋"/>
                <w:sz w:val="28"/>
                <w:szCs w:val="28"/>
              </w:rPr>
            </w:pPr>
            <w:r>
              <w:rPr>
                <w:rFonts w:hint="eastAsia" w:ascii="仿宋" w:hAnsi="仿宋" w:eastAsia="仿宋"/>
                <w:sz w:val="28"/>
                <w:szCs w:val="28"/>
              </w:rPr>
              <w:t>完整性</w:t>
            </w:r>
          </w:p>
        </w:tc>
        <w:tc>
          <w:tcPr>
            <w:tcW w:w="709" w:type="dxa"/>
          </w:tcPr>
          <w:p>
            <w:pPr>
              <w:spacing w:line="500" w:lineRule="exact"/>
              <w:rPr>
                <w:rFonts w:ascii="仿宋" w:hAnsi="仿宋" w:eastAsia="仿宋"/>
                <w:sz w:val="28"/>
                <w:szCs w:val="28"/>
              </w:rPr>
            </w:pPr>
            <w:r>
              <w:rPr>
                <w:rFonts w:ascii="仿宋" w:hAnsi="仿宋" w:eastAsia="仿宋"/>
                <w:sz w:val="28"/>
                <w:szCs w:val="28"/>
              </w:rPr>
              <w:t>30</w:t>
            </w:r>
          </w:p>
        </w:tc>
        <w:tc>
          <w:tcPr>
            <w:tcW w:w="2126" w:type="dxa"/>
          </w:tcPr>
          <w:p>
            <w:pPr>
              <w:spacing w:line="500" w:lineRule="exact"/>
              <w:rPr>
                <w:rFonts w:ascii="仿宋" w:hAnsi="仿宋" w:eastAsia="仿宋"/>
                <w:sz w:val="28"/>
                <w:szCs w:val="28"/>
              </w:rPr>
            </w:pPr>
            <w:r>
              <w:rPr>
                <w:rFonts w:hint="eastAsia" w:ascii="仿宋" w:hAnsi="仿宋" w:eastAsia="仿宋"/>
                <w:sz w:val="28"/>
                <w:szCs w:val="28"/>
              </w:rPr>
              <w:t>完整性=</w:t>
            </w:r>
            <w:r>
              <w:rPr>
                <w:rFonts w:ascii="仿宋" w:hAnsi="仿宋" w:eastAsia="仿宋"/>
                <w:sz w:val="28"/>
                <w:szCs w:val="28"/>
              </w:rPr>
              <w:t>30</w:t>
            </w:r>
            <w:r>
              <w:rPr>
                <w:rFonts w:ascii="Arial" w:hAnsi="Arial" w:eastAsia="仿宋" w:cs="Arial"/>
                <w:sz w:val="28"/>
                <w:szCs w:val="28"/>
              </w:rPr>
              <w:t>×</w:t>
            </w:r>
            <w:r>
              <w:rPr>
                <w:rFonts w:hint="eastAsia" w:ascii="Arial" w:hAnsi="Arial" w:eastAsia="仿宋" w:cs="Arial"/>
                <w:sz w:val="28"/>
                <w:szCs w:val="28"/>
              </w:rPr>
              <w:t>（1-</w:t>
            </w:r>
            <w:r>
              <w:rPr>
                <w:rFonts w:hint="eastAsia" w:ascii="仿宋" w:hAnsi="仿宋" w:eastAsia="仿宋"/>
                <w:sz w:val="28"/>
                <w:szCs w:val="28"/>
              </w:rPr>
              <w:t>数据缺失处方量/入库量）</w:t>
            </w:r>
          </w:p>
        </w:tc>
        <w:tc>
          <w:tcPr>
            <w:tcW w:w="4678" w:type="dxa"/>
          </w:tcPr>
          <w:p>
            <w:pPr>
              <w:spacing w:line="500" w:lineRule="exact"/>
              <w:rPr>
                <w:rFonts w:ascii="仿宋" w:hAnsi="仿宋" w:eastAsia="仿宋"/>
                <w:sz w:val="28"/>
                <w:szCs w:val="28"/>
              </w:rPr>
            </w:pPr>
            <w:r>
              <w:rPr>
                <w:rFonts w:hint="eastAsia" w:ascii="仿宋" w:hAnsi="仿宋" w:eastAsia="仿宋"/>
                <w:b/>
                <w:sz w:val="28"/>
                <w:szCs w:val="28"/>
              </w:rPr>
              <w:t>入库量</w:t>
            </w:r>
            <w:r>
              <w:rPr>
                <w:rFonts w:ascii="仿宋" w:hAnsi="仿宋" w:eastAsia="仿宋"/>
                <w:sz w:val="28"/>
                <w:szCs w:val="28"/>
              </w:rPr>
              <w:t>=</w:t>
            </w:r>
            <w:r>
              <w:rPr>
                <w:rFonts w:hint="eastAsia" w:ascii="仿宋" w:hAnsi="仿宋" w:eastAsia="仿宋"/>
                <w:sz w:val="28"/>
                <w:szCs w:val="28"/>
              </w:rPr>
              <w:t>上传正确</w:t>
            </w:r>
            <w:r>
              <w:rPr>
                <w:rFonts w:ascii="仿宋" w:hAnsi="仿宋" w:eastAsia="仿宋"/>
                <w:sz w:val="28"/>
                <w:szCs w:val="28"/>
              </w:rPr>
              <w:t>处方数</w:t>
            </w:r>
            <w:r>
              <w:rPr>
                <w:rFonts w:hint="eastAsia" w:ascii="仿宋" w:hAnsi="仿宋" w:eastAsia="仿宋"/>
                <w:sz w:val="28"/>
                <w:szCs w:val="28"/>
              </w:rPr>
              <w:t>+上传问题处方数</w:t>
            </w:r>
          </w:p>
          <w:p>
            <w:pPr>
              <w:spacing w:line="500" w:lineRule="exact"/>
              <w:rPr>
                <w:rFonts w:ascii="仿宋" w:hAnsi="仿宋" w:eastAsia="仿宋"/>
                <w:sz w:val="28"/>
                <w:szCs w:val="28"/>
              </w:rPr>
            </w:pPr>
            <w:r>
              <w:rPr>
                <w:rFonts w:hint="eastAsia" w:ascii="仿宋" w:hAnsi="仿宋" w:eastAsia="仿宋"/>
                <w:b/>
                <w:bCs/>
                <w:sz w:val="28"/>
                <w:szCs w:val="28"/>
              </w:rPr>
              <w:t>数据缺失处方量</w:t>
            </w:r>
            <w:r>
              <w:rPr>
                <w:rFonts w:hint="eastAsia" w:ascii="仿宋" w:hAnsi="仿宋" w:eastAsia="仿宋"/>
                <w:sz w:val="28"/>
                <w:szCs w:val="28"/>
              </w:rPr>
              <w:t>指医院传输处方过程中处方ID、</w:t>
            </w:r>
            <w:r>
              <w:rPr>
                <w:rFonts w:ascii="仿宋" w:hAnsi="仿宋" w:eastAsia="仿宋"/>
                <w:sz w:val="28"/>
                <w:szCs w:val="28"/>
              </w:rPr>
              <w:t>处方类别</w:t>
            </w:r>
            <w:r>
              <w:rPr>
                <w:rFonts w:hint="eastAsia" w:ascii="仿宋" w:hAnsi="仿宋" w:eastAsia="仿宋"/>
                <w:sz w:val="28"/>
                <w:szCs w:val="28"/>
              </w:rPr>
              <w:t>代码等任一</w:t>
            </w:r>
            <w:r>
              <w:rPr>
                <w:rFonts w:ascii="仿宋" w:hAnsi="仿宋" w:eastAsia="仿宋"/>
                <w:sz w:val="28"/>
                <w:szCs w:val="28"/>
              </w:rPr>
              <w:t>必填字段</w:t>
            </w:r>
            <w:r>
              <w:rPr>
                <w:rFonts w:hint="eastAsia" w:ascii="仿宋" w:hAnsi="仿宋" w:eastAsia="仿宋"/>
                <w:sz w:val="28"/>
                <w:szCs w:val="28"/>
              </w:rPr>
              <w:t>为空的处方数量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500" w:lineRule="exact"/>
              <w:rPr>
                <w:rFonts w:ascii="仿宋" w:hAnsi="仿宋" w:eastAsia="仿宋"/>
                <w:sz w:val="28"/>
                <w:szCs w:val="28"/>
              </w:rPr>
            </w:pPr>
            <w:r>
              <w:rPr>
                <w:rFonts w:hint="eastAsia" w:ascii="仿宋" w:hAnsi="仿宋" w:eastAsia="仿宋"/>
                <w:sz w:val="28"/>
                <w:szCs w:val="28"/>
              </w:rPr>
              <w:t>准确性</w:t>
            </w:r>
          </w:p>
        </w:tc>
        <w:tc>
          <w:tcPr>
            <w:tcW w:w="709" w:type="dxa"/>
          </w:tcPr>
          <w:p>
            <w:pPr>
              <w:spacing w:line="500" w:lineRule="exact"/>
              <w:rPr>
                <w:rFonts w:ascii="仿宋" w:hAnsi="仿宋" w:eastAsia="仿宋"/>
                <w:sz w:val="28"/>
                <w:szCs w:val="28"/>
              </w:rPr>
            </w:pPr>
            <w:r>
              <w:rPr>
                <w:rFonts w:ascii="仿宋" w:hAnsi="仿宋" w:eastAsia="仿宋"/>
                <w:sz w:val="28"/>
                <w:szCs w:val="28"/>
              </w:rPr>
              <w:t>35</w:t>
            </w:r>
          </w:p>
        </w:tc>
        <w:tc>
          <w:tcPr>
            <w:tcW w:w="2126" w:type="dxa"/>
          </w:tcPr>
          <w:p>
            <w:pPr>
              <w:spacing w:line="500" w:lineRule="exact"/>
              <w:rPr>
                <w:rFonts w:ascii="仿宋" w:hAnsi="仿宋" w:eastAsia="仿宋"/>
                <w:sz w:val="28"/>
                <w:szCs w:val="28"/>
              </w:rPr>
            </w:pPr>
            <w:r>
              <w:rPr>
                <w:rFonts w:hint="eastAsia" w:ascii="仿宋" w:hAnsi="仿宋" w:eastAsia="仿宋"/>
                <w:sz w:val="28"/>
                <w:szCs w:val="28"/>
              </w:rPr>
              <w:t>准确性=</w:t>
            </w:r>
            <w:r>
              <w:rPr>
                <w:rFonts w:ascii="仿宋" w:hAnsi="仿宋" w:eastAsia="仿宋"/>
                <w:sz w:val="28"/>
                <w:szCs w:val="28"/>
              </w:rPr>
              <w:t>35</w:t>
            </w:r>
            <w:r>
              <w:rPr>
                <w:rFonts w:ascii="Arial" w:hAnsi="Arial" w:eastAsia="仿宋" w:cs="Arial"/>
                <w:sz w:val="28"/>
                <w:szCs w:val="28"/>
              </w:rPr>
              <w:t>×</w:t>
            </w:r>
            <w:r>
              <w:rPr>
                <w:rFonts w:hint="eastAsia" w:ascii="Arial" w:hAnsi="Arial" w:eastAsia="仿宋" w:cs="Arial"/>
                <w:sz w:val="28"/>
                <w:szCs w:val="28"/>
              </w:rPr>
              <w:t>（1-</w:t>
            </w:r>
            <w:r>
              <w:rPr>
                <w:rFonts w:hint="eastAsia" w:ascii="仿宋" w:hAnsi="仿宋" w:eastAsia="仿宋"/>
                <w:sz w:val="28"/>
                <w:szCs w:val="28"/>
              </w:rPr>
              <w:t>数据不符处方量/入库量）</w:t>
            </w:r>
          </w:p>
        </w:tc>
        <w:tc>
          <w:tcPr>
            <w:tcW w:w="4678" w:type="dxa"/>
          </w:tcPr>
          <w:p>
            <w:pPr>
              <w:spacing w:line="500" w:lineRule="exact"/>
              <w:rPr>
                <w:rFonts w:ascii="仿宋" w:hAnsi="仿宋" w:eastAsia="仿宋"/>
                <w:sz w:val="28"/>
                <w:szCs w:val="28"/>
              </w:rPr>
            </w:pPr>
            <w:r>
              <w:rPr>
                <w:rFonts w:hint="eastAsia" w:ascii="仿宋" w:hAnsi="仿宋" w:eastAsia="仿宋"/>
                <w:b/>
                <w:sz w:val="28"/>
                <w:szCs w:val="28"/>
              </w:rPr>
              <w:t>数据不符处方量</w:t>
            </w:r>
            <w:r>
              <w:rPr>
                <w:rFonts w:ascii="仿宋" w:hAnsi="仿宋" w:eastAsia="仿宋"/>
                <w:sz w:val="28"/>
                <w:szCs w:val="28"/>
              </w:rPr>
              <w:t>指</w:t>
            </w:r>
            <w:r>
              <w:rPr>
                <w:rFonts w:hint="eastAsia" w:ascii="仿宋" w:hAnsi="仿宋" w:eastAsia="仿宋"/>
                <w:sz w:val="28"/>
                <w:szCs w:val="28"/>
              </w:rPr>
              <w:t>上传字段不符合接口规范要求的</w:t>
            </w:r>
            <w:r>
              <w:rPr>
                <w:rFonts w:ascii="仿宋" w:hAnsi="仿宋" w:eastAsia="仿宋"/>
                <w:sz w:val="28"/>
                <w:szCs w:val="28"/>
              </w:rPr>
              <w:t>枚举或字典</w:t>
            </w:r>
            <w:r>
              <w:rPr>
                <w:rFonts w:hint="eastAsia" w:ascii="仿宋" w:hAnsi="仿宋" w:eastAsia="仿宋"/>
                <w:sz w:val="28"/>
                <w:szCs w:val="28"/>
              </w:rPr>
              <w:t>的处方数量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1271" w:type="dxa"/>
          </w:tcPr>
          <w:p>
            <w:pPr>
              <w:spacing w:line="500" w:lineRule="exact"/>
              <w:rPr>
                <w:rFonts w:ascii="仿宋" w:hAnsi="仿宋" w:eastAsia="仿宋"/>
                <w:sz w:val="28"/>
                <w:szCs w:val="28"/>
              </w:rPr>
            </w:pPr>
            <w:r>
              <w:rPr>
                <w:rFonts w:hint="eastAsia" w:ascii="仿宋" w:hAnsi="仿宋" w:eastAsia="仿宋"/>
                <w:sz w:val="28"/>
                <w:szCs w:val="28"/>
              </w:rPr>
              <w:t>及时性</w:t>
            </w:r>
          </w:p>
        </w:tc>
        <w:tc>
          <w:tcPr>
            <w:tcW w:w="709" w:type="dxa"/>
          </w:tcPr>
          <w:p>
            <w:pPr>
              <w:spacing w:line="500" w:lineRule="exact"/>
              <w:rPr>
                <w:rFonts w:ascii="仿宋" w:hAnsi="仿宋" w:eastAsia="仿宋"/>
                <w:sz w:val="28"/>
                <w:szCs w:val="28"/>
              </w:rPr>
            </w:pPr>
            <w:r>
              <w:rPr>
                <w:rFonts w:ascii="仿宋" w:hAnsi="仿宋" w:eastAsia="仿宋"/>
                <w:sz w:val="28"/>
                <w:szCs w:val="28"/>
              </w:rPr>
              <w:t>20</w:t>
            </w:r>
          </w:p>
        </w:tc>
        <w:tc>
          <w:tcPr>
            <w:tcW w:w="2126" w:type="dxa"/>
          </w:tcPr>
          <w:p>
            <w:pPr>
              <w:spacing w:line="500" w:lineRule="exact"/>
              <w:rPr>
                <w:rFonts w:ascii="仿宋" w:hAnsi="仿宋" w:eastAsia="仿宋"/>
                <w:sz w:val="28"/>
                <w:szCs w:val="28"/>
              </w:rPr>
            </w:pPr>
            <w:r>
              <w:rPr>
                <w:rFonts w:hint="eastAsia" w:ascii="仿宋" w:hAnsi="仿宋" w:eastAsia="仿宋"/>
                <w:sz w:val="28"/>
                <w:szCs w:val="28"/>
              </w:rPr>
              <w:t>及时性=</w:t>
            </w:r>
            <w:r>
              <w:rPr>
                <w:rFonts w:ascii="仿宋" w:hAnsi="仿宋" w:eastAsia="仿宋"/>
                <w:sz w:val="28"/>
                <w:szCs w:val="28"/>
              </w:rPr>
              <w:t>20</w:t>
            </w:r>
            <w:r>
              <w:rPr>
                <w:rFonts w:ascii="Arial" w:hAnsi="Arial" w:eastAsia="仿宋" w:cs="Arial"/>
                <w:sz w:val="28"/>
                <w:szCs w:val="28"/>
              </w:rPr>
              <w:t>×</w:t>
            </w:r>
            <w:r>
              <w:rPr>
                <w:rFonts w:hint="eastAsia" w:ascii="仿宋" w:hAnsi="仿宋" w:eastAsia="仿宋"/>
                <w:sz w:val="28"/>
                <w:szCs w:val="28"/>
              </w:rPr>
              <w:t>及时上传的处方数/入库量</w:t>
            </w:r>
          </w:p>
        </w:tc>
        <w:tc>
          <w:tcPr>
            <w:tcW w:w="4678" w:type="dxa"/>
          </w:tcPr>
          <w:p>
            <w:pPr>
              <w:spacing w:line="500" w:lineRule="exact"/>
              <w:rPr>
                <w:rFonts w:ascii="仿宋" w:hAnsi="仿宋" w:eastAsia="仿宋"/>
                <w:sz w:val="28"/>
                <w:szCs w:val="28"/>
              </w:rPr>
            </w:pPr>
            <w:r>
              <w:rPr>
                <w:rFonts w:hint="eastAsia" w:ascii="仿宋" w:hAnsi="仿宋" w:eastAsia="仿宋"/>
                <w:b/>
                <w:sz w:val="28"/>
                <w:szCs w:val="28"/>
              </w:rPr>
              <w:t xml:space="preserve">及时上传 </w:t>
            </w:r>
            <w:r>
              <w:rPr>
                <w:rFonts w:hint="eastAsia" w:ascii="仿宋" w:hAnsi="仿宋" w:eastAsia="仿宋"/>
                <w:sz w:val="28"/>
                <w:szCs w:val="28"/>
              </w:rPr>
              <w:t>指线下院内处方开具时间</w:t>
            </w:r>
            <w:r>
              <w:rPr>
                <w:rFonts w:ascii="仿宋" w:hAnsi="仿宋" w:eastAsia="仿宋"/>
                <w:sz w:val="28"/>
                <w:szCs w:val="28"/>
              </w:rPr>
              <w:t>到</w:t>
            </w:r>
            <w:r>
              <w:rPr>
                <w:rFonts w:hint="eastAsia" w:ascii="仿宋" w:hAnsi="仿宋" w:eastAsia="仿宋"/>
                <w:sz w:val="28"/>
                <w:szCs w:val="28"/>
              </w:rPr>
              <w:t>省</w:t>
            </w:r>
            <w:r>
              <w:rPr>
                <w:rFonts w:ascii="仿宋" w:hAnsi="仿宋" w:eastAsia="仿宋"/>
                <w:sz w:val="28"/>
                <w:szCs w:val="28"/>
              </w:rPr>
              <w:t>平台</w:t>
            </w:r>
            <w:r>
              <w:rPr>
                <w:rFonts w:hint="eastAsia" w:ascii="仿宋" w:hAnsi="仿宋" w:eastAsia="仿宋"/>
                <w:sz w:val="28"/>
                <w:szCs w:val="28"/>
              </w:rPr>
              <w:t>入库时间差小于</w:t>
            </w:r>
            <w:r>
              <w:rPr>
                <w:rFonts w:ascii="仿宋" w:hAnsi="仿宋" w:eastAsia="仿宋"/>
                <w:sz w:val="28"/>
                <w:szCs w:val="28"/>
              </w:rPr>
              <w:t>60分钟</w:t>
            </w:r>
            <w:r>
              <w:rPr>
                <w:rFonts w:hint="eastAsia" w:ascii="仿宋" w:hAnsi="仿宋" w:eastAsia="仿宋"/>
                <w:sz w:val="28"/>
                <w:szCs w:val="28"/>
              </w:rPr>
              <w:t>，互联网医院处方和医院外配处方则为处方审核完毕到省平台入库时间差小于1</w:t>
            </w:r>
            <w:r>
              <w:rPr>
                <w:rFonts w:ascii="仿宋" w:hAnsi="仿宋" w:eastAsia="仿宋"/>
                <w:sz w:val="28"/>
                <w:szCs w:val="28"/>
              </w:rPr>
              <w:t>0</w:t>
            </w:r>
            <w:r>
              <w:rPr>
                <w:rFonts w:hint="eastAsia" w:ascii="仿宋" w:hAnsi="仿宋" w:eastAsia="仿宋"/>
                <w:sz w:val="28"/>
                <w:szCs w:val="28"/>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271" w:type="dxa"/>
          </w:tcPr>
          <w:p>
            <w:pPr>
              <w:spacing w:line="500" w:lineRule="exact"/>
              <w:rPr>
                <w:rFonts w:ascii="仿宋" w:hAnsi="仿宋" w:eastAsia="仿宋"/>
                <w:sz w:val="28"/>
                <w:szCs w:val="28"/>
              </w:rPr>
            </w:pPr>
            <w:r>
              <w:rPr>
                <w:rFonts w:hint="eastAsia" w:ascii="仿宋" w:hAnsi="仿宋" w:eastAsia="仿宋"/>
                <w:sz w:val="28"/>
                <w:szCs w:val="28"/>
              </w:rPr>
              <w:t>重复性</w:t>
            </w:r>
          </w:p>
        </w:tc>
        <w:tc>
          <w:tcPr>
            <w:tcW w:w="709" w:type="dxa"/>
          </w:tcPr>
          <w:p>
            <w:pPr>
              <w:spacing w:line="500" w:lineRule="exact"/>
              <w:rPr>
                <w:rFonts w:ascii="仿宋" w:hAnsi="仿宋" w:eastAsia="仿宋"/>
                <w:sz w:val="28"/>
                <w:szCs w:val="28"/>
              </w:rPr>
            </w:pPr>
            <w:r>
              <w:rPr>
                <w:rFonts w:ascii="仿宋" w:hAnsi="仿宋" w:eastAsia="仿宋"/>
                <w:sz w:val="28"/>
                <w:szCs w:val="28"/>
              </w:rPr>
              <w:t>15</w:t>
            </w:r>
          </w:p>
        </w:tc>
        <w:tc>
          <w:tcPr>
            <w:tcW w:w="2126" w:type="dxa"/>
          </w:tcPr>
          <w:p>
            <w:pPr>
              <w:spacing w:line="500" w:lineRule="exact"/>
              <w:rPr>
                <w:rFonts w:ascii="仿宋" w:hAnsi="仿宋" w:eastAsia="仿宋"/>
                <w:sz w:val="28"/>
                <w:szCs w:val="28"/>
              </w:rPr>
            </w:pPr>
            <w:r>
              <w:rPr>
                <w:rFonts w:hint="eastAsia" w:ascii="仿宋" w:hAnsi="仿宋" w:eastAsia="仿宋"/>
                <w:sz w:val="28"/>
                <w:szCs w:val="28"/>
              </w:rPr>
              <w:t>重复性=</w:t>
            </w:r>
            <w:r>
              <w:rPr>
                <w:rFonts w:ascii="仿宋" w:hAnsi="仿宋" w:eastAsia="仿宋"/>
                <w:sz w:val="28"/>
                <w:szCs w:val="28"/>
              </w:rPr>
              <w:t>15</w:t>
            </w:r>
            <w:r>
              <w:rPr>
                <w:rFonts w:ascii="Arial" w:hAnsi="Arial" w:eastAsia="仿宋" w:cs="Arial"/>
                <w:sz w:val="28"/>
                <w:szCs w:val="28"/>
              </w:rPr>
              <w:t>×</w:t>
            </w:r>
            <w:r>
              <w:rPr>
                <w:rFonts w:hint="eastAsia" w:ascii="仿宋" w:hAnsi="仿宋" w:eastAsia="仿宋"/>
                <w:sz w:val="28"/>
                <w:szCs w:val="28"/>
              </w:rPr>
              <w:t>（1-重复处方量/入库量）</w:t>
            </w:r>
          </w:p>
        </w:tc>
        <w:tc>
          <w:tcPr>
            <w:tcW w:w="4678" w:type="dxa"/>
          </w:tcPr>
          <w:p>
            <w:pPr>
              <w:spacing w:line="500" w:lineRule="exact"/>
              <w:rPr>
                <w:rFonts w:ascii="仿宋" w:hAnsi="仿宋" w:eastAsia="仿宋"/>
                <w:sz w:val="28"/>
                <w:szCs w:val="28"/>
              </w:rPr>
            </w:pPr>
            <w:r>
              <w:rPr>
                <w:rFonts w:hint="eastAsia" w:ascii="仿宋" w:hAnsi="仿宋" w:eastAsia="仿宋"/>
                <w:b/>
                <w:sz w:val="28"/>
                <w:szCs w:val="28"/>
              </w:rPr>
              <w:t>重复处方量</w:t>
            </w:r>
            <w:r>
              <w:rPr>
                <w:rFonts w:hint="eastAsia" w:ascii="仿宋" w:hAnsi="仿宋" w:eastAsia="仿宋"/>
                <w:sz w:val="28"/>
                <w:szCs w:val="28"/>
              </w:rPr>
              <w:t>指医院传输处方过程中</w:t>
            </w:r>
            <w:r>
              <w:rPr>
                <w:rFonts w:ascii="仿宋" w:hAnsi="仿宋" w:eastAsia="仿宋"/>
                <w:sz w:val="28"/>
                <w:szCs w:val="28"/>
              </w:rPr>
              <w:t>除处方id、原始处方id、处方明细id之外所有必填信息均一致</w:t>
            </w:r>
            <w:r>
              <w:rPr>
                <w:rFonts w:hint="eastAsia" w:ascii="仿宋" w:hAnsi="仿宋" w:eastAsia="仿宋"/>
                <w:sz w:val="28"/>
                <w:szCs w:val="28"/>
              </w:rPr>
              <w:t>的处方数量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500" w:lineRule="exact"/>
              <w:rPr>
                <w:rFonts w:ascii="仿宋" w:hAnsi="仿宋" w:eastAsia="仿宋"/>
                <w:sz w:val="28"/>
                <w:szCs w:val="28"/>
              </w:rPr>
            </w:pPr>
            <w:r>
              <w:rPr>
                <w:rFonts w:hint="eastAsia" w:ascii="仿宋" w:hAnsi="仿宋" w:eastAsia="仿宋"/>
                <w:sz w:val="28"/>
                <w:szCs w:val="28"/>
              </w:rPr>
              <w:t>综合</w:t>
            </w:r>
            <w:r>
              <w:rPr>
                <w:rFonts w:ascii="仿宋" w:hAnsi="仿宋" w:eastAsia="仿宋"/>
                <w:sz w:val="28"/>
                <w:szCs w:val="28"/>
              </w:rPr>
              <w:t>得分</w:t>
            </w:r>
          </w:p>
        </w:tc>
        <w:tc>
          <w:tcPr>
            <w:tcW w:w="709" w:type="dxa"/>
          </w:tcPr>
          <w:p>
            <w:pPr>
              <w:spacing w:line="500" w:lineRule="exact"/>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00</w:t>
            </w:r>
          </w:p>
        </w:tc>
        <w:tc>
          <w:tcPr>
            <w:tcW w:w="6804" w:type="dxa"/>
            <w:gridSpan w:val="2"/>
          </w:tcPr>
          <w:p>
            <w:pPr>
              <w:spacing w:line="500" w:lineRule="exact"/>
              <w:rPr>
                <w:rFonts w:ascii="仿宋" w:hAnsi="仿宋" w:eastAsia="仿宋"/>
                <w:sz w:val="28"/>
                <w:szCs w:val="28"/>
              </w:rPr>
            </w:pPr>
            <w:r>
              <w:rPr>
                <w:rFonts w:hint="eastAsia" w:ascii="仿宋" w:hAnsi="仿宋" w:eastAsia="仿宋"/>
                <w:sz w:val="28"/>
                <w:szCs w:val="28"/>
              </w:rPr>
              <w:t>综合得分=完整性得分+准确性得分+及时性得分+重复性得分</w:t>
            </w:r>
          </w:p>
        </w:tc>
      </w:tr>
    </w:tbl>
    <w:p>
      <w:pPr>
        <w:spacing w:line="600" w:lineRule="exact"/>
        <w:ind w:firstLine="640" w:firstLineChars="200"/>
        <w:rPr>
          <w:rFonts w:ascii="仿宋_GB2312" w:hAnsi="仿宋_GB2312" w:eastAsia="仿宋_GB2312" w:cs="仿宋_GB2312"/>
          <w:sz w:val="32"/>
          <w:szCs w:val="32"/>
        </w:rPr>
      </w:pPr>
    </w:p>
    <w:p>
      <w:pPr>
        <w:pStyle w:val="4"/>
        <w:jc w:val="left"/>
      </w:pPr>
      <w:r>
        <w:rPr>
          <w:rFonts w:hint="eastAsia"/>
        </w:rPr>
        <w:t>四、数据开放</w:t>
      </w:r>
      <w:r>
        <w:t>标准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各医疗机构电子处方信息实时上传到</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平台。</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卫生健康委组织对各医疗机构上传的电子处方数据质量依据上述评分标准进行评分。原则上各医疗机构近一周综合得分每天均大于等于80分，方可申请在“浙里办”向患者开放查询服务。各医疗机构因数据质量等问题导致综合评分连续3周小于80分的，将暂停向患者开放查询服务，并在全</w:t>
      </w:r>
      <w:r>
        <w:rPr>
          <w:rFonts w:hint="eastAsia" w:ascii="仿宋_GB2312" w:hAnsi="仿宋_GB2312" w:eastAsia="仿宋_GB2312" w:cs="仿宋_GB2312"/>
          <w:sz w:val="32"/>
          <w:szCs w:val="32"/>
          <w:lang w:val="en-US" w:eastAsia="zh-CN"/>
        </w:rPr>
        <w:t>省</w:t>
      </w:r>
      <w:r>
        <w:rPr>
          <w:rFonts w:hint="eastAsia" w:ascii="仿宋_GB2312" w:hAnsi="仿宋_GB2312" w:eastAsia="仿宋_GB2312" w:cs="仿宋_GB2312"/>
          <w:sz w:val="32"/>
          <w:szCs w:val="32"/>
        </w:rPr>
        <w:t>范围进行通报。</w:t>
      </w:r>
    </w:p>
    <w:p>
      <w:pPr>
        <w:pStyle w:val="4"/>
        <w:jc w:val="left"/>
      </w:pPr>
      <w:r>
        <w:rPr>
          <w:rFonts w:hint="eastAsia"/>
          <w:lang w:val="en-US" w:eastAsia="zh-CN"/>
        </w:rPr>
        <w:t>五</w:t>
      </w:r>
      <w:r>
        <w:rPr>
          <w:rFonts w:hint="eastAsia"/>
        </w:rPr>
        <w:t>、其它要求</w:t>
      </w:r>
    </w:p>
    <w:p>
      <w:pPr>
        <w:pStyle w:val="9"/>
        <w:spacing w:line="600" w:lineRule="exact"/>
        <w:ind w:firstLine="640"/>
        <w:rPr>
          <w:rFonts w:ascii="仿宋_GB2312" w:hAnsi="仿宋_GB2312" w:eastAsia="仿宋_GB2312" w:cs="仿宋_GB2312"/>
          <w:sz w:val="32"/>
          <w:szCs w:val="32"/>
        </w:rPr>
      </w:pPr>
      <w:r>
        <w:rPr>
          <w:rFonts w:hint="eastAsia" w:ascii="楷体" w:hAnsi="楷体" w:eastAsia="楷体" w:cs="楷体"/>
          <w:sz w:val="32"/>
          <w:szCs w:val="32"/>
        </w:rPr>
        <w:t>(一）系统问题处理。</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医疗机构</w:t>
      </w:r>
      <w:r>
        <w:rPr>
          <w:rFonts w:hint="eastAsia" w:ascii="仿宋_GB2312" w:hAnsi="仿宋_GB2312" w:eastAsia="仿宋_GB2312" w:cs="仿宋_GB2312"/>
          <w:sz w:val="32"/>
          <w:szCs w:val="32"/>
        </w:rPr>
        <w:t>接到数据周报、系统故障报告后应立即排查处置。如遇故障可能引起大规模数据质量问题、长时间服务中断等情况，应及时通知</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平台管理员暂停服务，待故障解决后再恢复服务。</w:t>
      </w:r>
    </w:p>
    <w:p>
      <w:pPr>
        <w:spacing w:line="600" w:lineRule="exact"/>
        <w:ind w:firstLine="640" w:firstLineChars="200"/>
        <w:rPr>
          <w:rFonts w:ascii="仿宋_GB2312" w:hAnsi="仿宋_GB2312" w:eastAsia="仿宋_GB2312" w:cs="仿宋_GB2312"/>
          <w:sz w:val="32"/>
          <w:szCs w:val="32"/>
        </w:rPr>
      </w:pPr>
      <w:r>
        <w:rPr>
          <w:rFonts w:hint="eastAsia" w:ascii="楷体" w:hAnsi="楷体" w:eastAsia="楷体" w:cs="楷体"/>
          <w:sz w:val="32"/>
          <w:szCs w:val="32"/>
        </w:rPr>
        <w:t>（二）信访件处理。</w:t>
      </w:r>
      <w:r>
        <w:rPr>
          <w:rFonts w:hint="eastAsia" w:ascii="仿宋_GB2312" w:hAnsi="仿宋_GB2312" w:eastAsia="仿宋_GB2312" w:cs="仿宋_GB2312"/>
          <w:sz w:val="32"/>
          <w:szCs w:val="32"/>
        </w:rPr>
        <w:t>信访件由省平台管理员经省平台发送至各医疗机构属地所在市平台管理员账户，一般应当天处理完成并将处理结果反馈省平台。</w:t>
      </w:r>
    </w:p>
    <w:p>
      <w:pPr>
        <w:spacing w:line="600" w:lineRule="exact"/>
        <w:ind w:firstLine="640" w:firstLineChars="200"/>
        <w:rPr>
          <w:rFonts w:ascii="方正小标宋简体" w:hAnsi="方正小标宋简体" w:eastAsia="方正小标宋简体" w:cs="方正小标宋简体"/>
          <w:sz w:val="44"/>
          <w:szCs w:val="44"/>
        </w:rPr>
      </w:pPr>
      <w:r>
        <w:rPr>
          <w:rFonts w:hint="eastAsia" w:ascii="楷体" w:hAnsi="楷体" w:eastAsia="楷体" w:cs="楷体"/>
          <w:sz w:val="32"/>
          <w:szCs w:val="32"/>
        </w:rPr>
        <w:t>（三）信息安全保障。</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医疗机构</w:t>
      </w:r>
      <w:r>
        <w:rPr>
          <w:rFonts w:hint="eastAsia" w:ascii="仿宋_GB2312" w:hAnsi="仿宋_GB2312" w:eastAsia="仿宋_GB2312" w:cs="仿宋_GB2312"/>
          <w:sz w:val="32"/>
          <w:szCs w:val="32"/>
        </w:rPr>
        <w:t>应落实信息安全责任，强化技术保障，确保患者隐私数据安全。</w:t>
      </w:r>
    </w:p>
    <w:p>
      <w:pPr>
        <w:widowControl/>
        <w:jc w:val="left"/>
        <w:rPr>
          <w:rFonts w:ascii="仿宋_GB2312" w:hAnsi="仿宋_GB2312" w:eastAsia="仿宋_GB2312" w:cs="仿宋_GB2312"/>
          <w:sz w:val="28"/>
          <w:szCs w:val="32"/>
        </w:rPr>
      </w:pP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altName w:val="微软雅黑"/>
    <w:panose1 w:val="020B0604020202020204"/>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B0604020202020204"/>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Helvetica Neue">
    <w:altName w:val="Times New Roman"/>
    <w:panose1 w:val="02000503000000020004"/>
    <w:charset w:val="00"/>
    <w:family w:val="auto"/>
    <w:pitch w:val="default"/>
    <w:sig w:usb0="00000000" w:usb1="00000000" w:usb2="00000010" w:usb3="00000000" w:csb0="00000001" w:csb1="00000000"/>
  </w:font>
  <w:font w:name="楷体">
    <w:panose1 w:val="02010609060101010101"/>
    <w:charset w:val="86"/>
    <w:family w:val="modern"/>
    <w:pitch w:val="default"/>
    <w:sig w:usb0="800002BF" w:usb1="38CF7CFA" w:usb2="00000016" w:usb3="00000000" w:csb0="00040001" w:csb1="00000000"/>
  </w:font>
  <w:font w:name="Wingdings">
    <w:panose1 w:val="05000000000000000000"/>
    <w:charset w:val="00"/>
    <w:family w:val="decorative"/>
    <w:pitch w:val="default"/>
    <w:sig w:usb0="00000000" w:usb1="00000000" w:usb2="00000000" w:usb3="00000000" w:csb0="80000000" w:csb1="00000000"/>
  </w:font>
  <w:font w:name="楷体_GB2312">
    <w:altName w:val="楷体"/>
    <w:panose1 w:val="020B0604020202020204"/>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ascii="楷体_GB2312" w:hAnsi="楷体_GB2312" w:eastAsia="楷体_GB2312" w:cs="楷体_GB2312"/>
                              <w:sz w:val="28"/>
                              <w:szCs w:val="28"/>
                            </w:rPr>
                          </w:pPr>
                          <w:r>
                            <w:rPr>
                              <w:rFonts w:hint="eastAsia" w:ascii="楷体_GB2312" w:hAnsi="楷体_GB2312" w:eastAsia="楷体_GB2312" w:cs="楷体_GB2312"/>
                              <w:sz w:val="28"/>
                              <w:szCs w:val="28"/>
                            </w:rPr>
                            <w:fldChar w:fldCharType="begin"/>
                          </w:r>
                          <w:r>
                            <w:rPr>
                              <w:rFonts w:hint="eastAsia" w:ascii="楷体_GB2312" w:hAnsi="楷体_GB2312" w:eastAsia="楷体_GB2312" w:cs="楷体_GB2312"/>
                              <w:sz w:val="28"/>
                              <w:szCs w:val="28"/>
                            </w:rPr>
                            <w:instrText xml:space="preserve"> PAGE  \* MERGEFORMAT </w:instrText>
                          </w:r>
                          <w:r>
                            <w:rPr>
                              <w:rFonts w:hint="eastAsia" w:ascii="楷体_GB2312" w:hAnsi="楷体_GB2312" w:eastAsia="楷体_GB2312" w:cs="楷体_GB2312"/>
                              <w:sz w:val="28"/>
                              <w:szCs w:val="28"/>
                            </w:rPr>
                            <w:fldChar w:fldCharType="separate"/>
                          </w:r>
                          <w:r>
                            <w:rPr>
                              <w:rFonts w:hint="eastAsia" w:ascii="楷体_GB2312" w:hAnsi="楷体_GB2312" w:eastAsia="楷体_GB2312" w:cs="楷体_GB2312"/>
                              <w:sz w:val="28"/>
                              <w:szCs w:val="28"/>
                            </w:rPr>
                            <w:t>1</w:t>
                          </w:r>
                          <w:r>
                            <w:rPr>
                              <w:rFonts w:hint="eastAsia" w:ascii="楷体_GB2312" w:hAnsi="楷体_GB2312" w:eastAsia="楷体_GB2312" w:cs="楷体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rPr>
                        <w:rFonts w:ascii="楷体_GB2312" w:hAnsi="楷体_GB2312" w:eastAsia="楷体_GB2312" w:cs="楷体_GB2312"/>
                        <w:sz w:val="28"/>
                        <w:szCs w:val="28"/>
                      </w:rPr>
                    </w:pPr>
                    <w:r>
                      <w:rPr>
                        <w:rFonts w:hint="eastAsia" w:ascii="楷体_GB2312" w:hAnsi="楷体_GB2312" w:eastAsia="楷体_GB2312" w:cs="楷体_GB2312"/>
                        <w:sz w:val="28"/>
                        <w:szCs w:val="28"/>
                      </w:rPr>
                      <w:fldChar w:fldCharType="begin"/>
                    </w:r>
                    <w:r>
                      <w:rPr>
                        <w:rFonts w:hint="eastAsia" w:ascii="楷体_GB2312" w:hAnsi="楷体_GB2312" w:eastAsia="楷体_GB2312" w:cs="楷体_GB2312"/>
                        <w:sz w:val="28"/>
                        <w:szCs w:val="28"/>
                      </w:rPr>
                      <w:instrText xml:space="preserve"> PAGE  \* MERGEFORMAT </w:instrText>
                    </w:r>
                    <w:r>
                      <w:rPr>
                        <w:rFonts w:hint="eastAsia" w:ascii="楷体_GB2312" w:hAnsi="楷体_GB2312" w:eastAsia="楷体_GB2312" w:cs="楷体_GB2312"/>
                        <w:sz w:val="28"/>
                        <w:szCs w:val="28"/>
                      </w:rPr>
                      <w:fldChar w:fldCharType="separate"/>
                    </w:r>
                    <w:r>
                      <w:rPr>
                        <w:rFonts w:hint="eastAsia" w:ascii="楷体_GB2312" w:hAnsi="楷体_GB2312" w:eastAsia="楷体_GB2312" w:cs="楷体_GB2312"/>
                        <w:sz w:val="28"/>
                        <w:szCs w:val="28"/>
                      </w:rPr>
                      <w:t>1</w:t>
                    </w:r>
                    <w:r>
                      <w:rPr>
                        <w:rFonts w:hint="eastAsia" w:ascii="楷体_GB2312" w:hAnsi="楷体_GB2312" w:eastAsia="楷体_GB2312" w:cs="楷体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BC1"/>
    <w:rsid w:val="00016C6D"/>
    <w:rsid w:val="00062DBF"/>
    <w:rsid w:val="00066EBC"/>
    <w:rsid w:val="00097D83"/>
    <w:rsid w:val="000E2AC8"/>
    <w:rsid w:val="00162B52"/>
    <w:rsid w:val="00175E01"/>
    <w:rsid w:val="001A1718"/>
    <w:rsid w:val="001A2AE7"/>
    <w:rsid w:val="001F2B07"/>
    <w:rsid w:val="001F64B9"/>
    <w:rsid w:val="00257904"/>
    <w:rsid w:val="00261EA3"/>
    <w:rsid w:val="00270365"/>
    <w:rsid w:val="0027241D"/>
    <w:rsid w:val="002936D5"/>
    <w:rsid w:val="002A7EAF"/>
    <w:rsid w:val="00335252"/>
    <w:rsid w:val="0034343A"/>
    <w:rsid w:val="0038250B"/>
    <w:rsid w:val="003A57CA"/>
    <w:rsid w:val="003C11E9"/>
    <w:rsid w:val="004853F5"/>
    <w:rsid w:val="00491E47"/>
    <w:rsid w:val="00497657"/>
    <w:rsid w:val="004D60D8"/>
    <w:rsid w:val="005017CE"/>
    <w:rsid w:val="00503FA1"/>
    <w:rsid w:val="0054348F"/>
    <w:rsid w:val="00592284"/>
    <w:rsid w:val="005E48B2"/>
    <w:rsid w:val="006000C0"/>
    <w:rsid w:val="006424BD"/>
    <w:rsid w:val="006A140C"/>
    <w:rsid w:val="006D1F4B"/>
    <w:rsid w:val="006D288C"/>
    <w:rsid w:val="0070741F"/>
    <w:rsid w:val="00741994"/>
    <w:rsid w:val="007772BD"/>
    <w:rsid w:val="007772E8"/>
    <w:rsid w:val="007C5F23"/>
    <w:rsid w:val="008E543F"/>
    <w:rsid w:val="008F3226"/>
    <w:rsid w:val="008F34FB"/>
    <w:rsid w:val="009819CF"/>
    <w:rsid w:val="00983351"/>
    <w:rsid w:val="009B2F0F"/>
    <w:rsid w:val="009C35E0"/>
    <w:rsid w:val="009F1C7A"/>
    <w:rsid w:val="009F3339"/>
    <w:rsid w:val="00A54E9A"/>
    <w:rsid w:val="00BB1B2C"/>
    <w:rsid w:val="00C14B62"/>
    <w:rsid w:val="00C51072"/>
    <w:rsid w:val="00C5423A"/>
    <w:rsid w:val="00C93C4B"/>
    <w:rsid w:val="00CA1091"/>
    <w:rsid w:val="00CA1CBD"/>
    <w:rsid w:val="00CC57F6"/>
    <w:rsid w:val="00CE4BC1"/>
    <w:rsid w:val="00D7127D"/>
    <w:rsid w:val="00D830E8"/>
    <w:rsid w:val="00DB1626"/>
    <w:rsid w:val="00DE7D11"/>
    <w:rsid w:val="00EE3ED4"/>
    <w:rsid w:val="00F07109"/>
    <w:rsid w:val="00F269BE"/>
    <w:rsid w:val="00F339B4"/>
    <w:rsid w:val="00F86105"/>
    <w:rsid w:val="00FB68D5"/>
    <w:rsid w:val="01760B35"/>
    <w:rsid w:val="048E56D2"/>
    <w:rsid w:val="079043F7"/>
    <w:rsid w:val="0C22507E"/>
    <w:rsid w:val="0DA21736"/>
    <w:rsid w:val="14072DAB"/>
    <w:rsid w:val="17DB4333"/>
    <w:rsid w:val="187F67DF"/>
    <w:rsid w:val="22971AE5"/>
    <w:rsid w:val="232910EB"/>
    <w:rsid w:val="25925EF7"/>
    <w:rsid w:val="2A830F86"/>
    <w:rsid w:val="2BA03472"/>
    <w:rsid w:val="2E7A26A0"/>
    <w:rsid w:val="2F8E5BA0"/>
    <w:rsid w:val="301E3BBF"/>
    <w:rsid w:val="33EA74EE"/>
    <w:rsid w:val="356419B4"/>
    <w:rsid w:val="35DE1766"/>
    <w:rsid w:val="3D0F2205"/>
    <w:rsid w:val="3FDB6D16"/>
    <w:rsid w:val="44B71B00"/>
    <w:rsid w:val="463D4E5C"/>
    <w:rsid w:val="481F6011"/>
    <w:rsid w:val="494E0559"/>
    <w:rsid w:val="496E4757"/>
    <w:rsid w:val="4ED50C74"/>
    <w:rsid w:val="50B96C00"/>
    <w:rsid w:val="52CA29FF"/>
    <w:rsid w:val="53983C0D"/>
    <w:rsid w:val="567C204A"/>
    <w:rsid w:val="5A1D0200"/>
    <w:rsid w:val="5ADB0B97"/>
    <w:rsid w:val="5CFF1E3E"/>
    <w:rsid w:val="66F27E7D"/>
    <w:rsid w:val="6A2720C1"/>
    <w:rsid w:val="6B0A42CD"/>
    <w:rsid w:val="6EBFD2C4"/>
    <w:rsid w:val="6F87552D"/>
    <w:rsid w:val="6F9C242E"/>
    <w:rsid w:val="751C3136"/>
    <w:rsid w:val="75A66EA3"/>
    <w:rsid w:val="7654644B"/>
    <w:rsid w:val="7D111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15"/>
    <w:qFormat/>
    <w:uiPriority w:val="10"/>
    <w:pPr>
      <w:spacing w:before="240" w:after="60"/>
      <w:jc w:val="center"/>
      <w:outlineLvl w:val="0"/>
    </w:pPr>
    <w:rPr>
      <w:rFonts w:asciiTheme="majorHAnsi" w:hAnsiTheme="majorHAnsi" w:eastAsiaTheme="majorEastAsia" w:cstheme="majorBidi"/>
      <w:b/>
      <w:bCs/>
      <w:sz w:val="32"/>
      <w:szCs w:val="32"/>
    </w:rPr>
  </w:style>
  <w:style w:type="character" w:styleId="7">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8">
    <w:name w:val="Hyperlink"/>
    <w:unhideWhenUsed/>
    <w:qFormat/>
    <w:uiPriority w:val="99"/>
    <w:rPr>
      <w:color w:val="0000FF"/>
      <w:u w:val="single"/>
    </w:rPr>
  </w:style>
  <w:style w:type="paragraph" w:customStyle="1" w:styleId="9">
    <w:name w:val="列表段落1"/>
    <w:basedOn w:val="1"/>
    <w:qFormat/>
    <w:uiPriority w:val="34"/>
    <w:pPr>
      <w:ind w:firstLine="420" w:firstLineChars="200"/>
    </w:pPr>
  </w:style>
  <w:style w:type="paragraph" w:customStyle="1" w:styleId="10">
    <w:name w:val="p0"/>
    <w:basedOn w:val="1"/>
    <w:qFormat/>
    <w:uiPriority w:val="0"/>
    <w:pPr>
      <w:widowControl/>
    </w:pPr>
    <w:rPr>
      <w:kern w:val="0"/>
      <w:szCs w:val="21"/>
    </w:rPr>
  </w:style>
  <w:style w:type="paragraph" w:customStyle="1" w:styleId="11">
    <w:name w:val="列表段落2"/>
    <w:basedOn w:val="1"/>
    <w:qFormat/>
    <w:uiPriority w:val="34"/>
    <w:pPr>
      <w:ind w:firstLine="420" w:firstLineChars="200"/>
    </w:pPr>
  </w:style>
  <w:style w:type="character" w:customStyle="1" w:styleId="12">
    <w:name w:val="页眉 字符"/>
    <w:basedOn w:val="6"/>
    <w:link w:val="3"/>
    <w:qFormat/>
    <w:uiPriority w:val="99"/>
    <w:rPr>
      <w:rFonts w:ascii="Times New Roman" w:hAnsi="Times New Roman" w:eastAsia="宋体" w:cs="Times New Roman"/>
      <w:sz w:val="18"/>
      <w:szCs w:val="18"/>
    </w:rPr>
  </w:style>
  <w:style w:type="character" w:customStyle="1" w:styleId="13">
    <w:name w:val="页脚 字符"/>
    <w:basedOn w:val="6"/>
    <w:link w:val="2"/>
    <w:qFormat/>
    <w:uiPriority w:val="99"/>
    <w:rPr>
      <w:rFonts w:ascii="Times New Roman" w:hAnsi="Times New Roman" w:eastAsia="宋体" w:cs="Times New Roman"/>
      <w:sz w:val="18"/>
      <w:szCs w:val="18"/>
    </w:rPr>
  </w:style>
  <w:style w:type="character" w:customStyle="1" w:styleId="14">
    <w:name w:val="未处理的提及1"/>
    <w:basedOn w:val="6"/>
    <w:semiHidden/>
    <w:unhideWhenUsed/>
    <w:qFormat/>
    <w:uiPriority w:val="99"/>
    <w:rPr>
      <w:color w:val="605E5C"/>
      <w:shd w:val="clear" w:color="auto" w:fill="E1DFDD"/>
    </w:rPr>
  </w:style>
  <w:style w:type="character" w:customStyle="1" w:styleId="15">
    <w:name w:val="标题 字符"/>
    <w:basedOn w:val="6"/>
    <w:link w:val="4"/>
    <w:uiPriority w:val="1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732</Words>
  <Characters>1085</Characters>
  <Lines>271</Lines>
  <Paragraphs>302</Paragraphs>
  <TotalTime>3</TotalTime>
  <ScaleCrop>false</ScaleCrop>
  <LinksUpToDate>false</LinksUpToDate>
  <CharactersWithSpaces>1515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2020-08-09T15:47:00Z</dcterms:created>
  <dc:creator>贺 彬</dc:creator>
  <cp:lastModifiedBy>world</cp:lastModifiedBy>
  <dcterms:modified xsi:type="dcterms:W3CDTF">2022-03-24T06:55:20Z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8DC5454F5BAF4A9390E65BE1FDCDDF6E</vt:lpwstr>
  </property>
</Properties>
</file>